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44BE56">
      <w:pPr>
        <w:widowControl/>
        <w:shd w:val="clear" w:color="auto" w:fill="FFFFFF"/>
        <w:spacing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为了将抽象的技术路线落地，我们选取一个典型的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高密度老旧小区巷口微空间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（宽6m，两侧为5层住宅山墙）作为实证对象。以下严格按Pipeline步骤拆解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接口/参数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，并预想最终成果展示场景，重点演示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“有效作用域”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与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“边际递减阈值”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如何被量化和指导设计。</w:t>
      </w:r>
    </w:p>
    <w:p w14:paraId="3B46EADE">
      <w:pPr>
        <w:widowControl/>
        <w:shd w:val="clear" w:color="auto" w:fill="FFFFFF"/>
        <w:spacing w:before="480" w:after="48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pict>
          <v:rect id="_x0000_i1025" o:spt="1" style="height:0.05pt;width:414.9pt;" fillcolor="#A0A0A0" filled="t" stroked="f" coordsize="21600,21600" o:hr="t" o:hrstd="t" o:hrpct="999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AD29A1">
      <w:pPr>
        <w:widowControl/>
        <w:shd w:val="clear" w:color="auto" w:fill="FFFFFF"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一、Pipeline 步骤接口、参数与核心逻辑</w:t>
      </w:r>
    </w:p>
    <w:tbl>
      <w:tblPr>
        <w:tblStyle w:val="13"/>
        <w:tblW w:w="9441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0"/>
        <w:gridCol w:w="1737"/>
        <w:gridCol w:w="2193"/>
        <w:gridCol w:w="2482"/>
        <w:gridCol w:w="1729"/>
      </w:tblGrid>
      <w:tr w14:paraId="25F557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0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22DD4E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步骤</w:t>
            </w:r>
          </w:p>
        </w:tc>
        <w:tc>
          <w:tcPr>
            <w:tcW w:w="173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A39FDF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模块</w:t>
            </w:r>
          </w:p>
          <w:p w14:paraId="6490CEAD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（接口）</w:t>
            </w:r>
          </w:p>
        </w:tc>
        <w:tc>
          <w:tcPr>
            <w:tcW w:w="21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55BEC8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关键输入参数</w:t>
            </w:r>
          </w:p>
        </w:tc>
        <w:tc>
          <w:tcPr>
            <w:tcW w:w="248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84C2C4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核心处理逻辑</w:t>
            </w:r>
          </w:p>
        </w:tc>
        <w:tc>
          <w:tcPr>
            <w:tcW w:w="172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30B750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关键输出</w:t>
            </w:r>
          </w:p>
        </w:tc>
      </w:tr>
      <w:tr w14:paraId="722FA2C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22D347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Step 1</w:t>
            </w:r>
          </w:p>
        </w:tc>
        <w:tc>
          <w:tcPr>
            <w:tcW w:w="17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102E5F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数据加载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CFDBB5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img_path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(全景图),</w:t>
            </w: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meta_data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(GPS/时间)</w:t>
            </w:r>
          </w:p>
        </w:tc>
        <w:tc>
          <w:tcPr>
            <w:tcW w:w="24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CAFDC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color w:val="000000" w:themeColor="text1"/>
                <w:kern w:val="0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统一分辨率（4096x2048），提取R/G/B通道均值</w:t>
            </w:r>
            <w:bookmarkStart w:id="0" w:name="_GoBack"/>
            <w:bookmarkEnd w:id="0"/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作为光照基准</w:t>
            </w:r>
          </w:p>
        </w:tc>
        <w:tc>
          <w:tcPr>
            <w:tcW w:w="1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633D33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Dataset_Loader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：标准化张量</w:t>
            </w:r>
          </w:p>
        </w:tc>
      </w:tr>
      <w:tr w14:paraId="18FBCE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853AB6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Step 2</w:t>
            </w:r>
          </w:p>
        </w:tc>
        <w:tc>
          <w:tcPr>
            <w:tcW w:w="17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2A206D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E-Agent描述生成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AB3F0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Prompt_Set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 (生态/社会/经济权),</w:t>
            </w: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Temperature=0.7</w:t>
            </w:r>
          </w:p>
        </w:tc>
        <w:tc>
          <w:tcPr>
            <w:tcW w:w="24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45DCD2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多模态LLM视觉编码，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:highlight w:val="cyan"/>
                <w14:textFill>
                  <w14:solidFill>
                    <w14:schemeClr w14:val="tx1"/>
                  </w14:solidFill>
                </w14:textFill>
              </w:rPr>
              <w:t>生成结构化JSON描述</w:t>
            </w:r>
          </w:p>
        </w:tc>
        <w:tc>
          <w:tcPr>
            <w:tcW w:w="1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354DEF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percept_desc.json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（含“阴影覆盖率”、“界面单调度”等20+字段）</w:t>
            </w:r>
          </w:p>
        </w:tc>
      </w:tr>
      <w:tr w14:paraId="654C3EC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28F8CB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Step 3</w:t>
            </w:r>
          </w:p>
        </w:tc>
        <w:tc>
          <w:tcPr>
            <w:tcW w:w="17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DD34E6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特征向量化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433B64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Embedding_Model=sentence-BERT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,</w:t>
            </w: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Dim=384</w:t>
            </w:r>
          </w:p>
        </w:tc>
        <w:tc>
          <w:tcPr>
            <w:tcW w:w="24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4A2B04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文本转向量，结合SegFormer提取</w:t>
            </w: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:highlight w:val="cyan"/>
                <w14:textFill>
                  <w14:solidFill>
                    <w14:schemeClr w14:val="tx1"/>
                  </w14:solidFill>
                </w14:textFill>
              </w:rPr>
              <w:t>绿视率(GVF)</w:t>
            </w:r>
          </w:p>
        </w:tc>
        <w:tc>
          <w:tcPr>
            <w:tcW w:w="1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61216D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feature_matrix.csv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+初始PCA散点图</w:t>
            </w:r>
          </w:p>
        </w:tc>
      </w:tr>
      <w:tr w14:paraId="03B0AE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11D6AD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Step 4</w:t>
            </w:r>
          </w:p>
        </w:tc>
        <w:tc>
          <w:tcPr>
            <w:tcW w:w="17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57805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专家校准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BA5B77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slider_weights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 (噪声敏感度0.2→0.4)</w:t>
            </w:r>
          </w:p>
        </w:tc>
        <w:tc>
          <w:tcPr>
            <w:tcW w:w="24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53C39E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Gradio回调函数，实时加权更新特征空间分布</w:t>
            </w:r>
          </w:p>
        </w:tc>
        <w:tc>
          <w:tcPr>
            <w:tcW w:w="1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8440A5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calibrated_features.csv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+ 专家日志</w:t>
            </w:r>
          </w:p>
        </w:tc>
      </w:tr>
      <w:tr w14:paraId="0F30EA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3330F5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Step 5</w:t>
            </w:r>
          </w:p>
        </w:tc>
        <w:tc>
          <w:tcPr>
            <w:tcW w:w="17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9FAB3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C-Agent 情境构建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437ABF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Time=[早,中,晚]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, </w:t>
            </w: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Crowd=[低,中,高]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, </w:t>
            </w: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Noise=[55dB,70dB]</w:t>
            </w:r>
          </w:p>
        </w:tc>
        <w:tc>
          <w:tcPr>
            <w:tcW w:w="24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C8C36F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笛卡尔积生成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:highlight w:val="cyan"/>
                <w14:textFill>
                  <w14:solidFill>
                    <w14:schemeClr w14:val="tx1"/>
                  </w14:solidFill>
                </w14:textFill>
              </w:rPr>
              <w:t>18种情境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，LLM推理预判趋势</w:t>
            </w:r>
          </w:p>
        </w:tc>
        <w:tc>
          <w:tcPr>
            <w:tcW w:w="1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FE4F31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experiment_matrix.csv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(含18行/场景)</w:t>
            </w:r>
          </w:p>
        </w:tc>
      </w:tr>
      <w:tr w14:paraId="473828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ABEEA5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Step 6</w:t>
            </w:r>
          </w:p>
        </w:tc>
        <w:tc>
          <w:tcPr>
            <w:tcW w:w="17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EF10AC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AI 评分模型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5F836F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Model=BERT+LSTM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, </w:t>
            </w: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Input=[文本+情境独热]</w:t>
            </w:r>
          </w:p>
        </w:tc>
        <w:tc>
          <w:tcPr>
            <w:tcW w:w="24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41F0D9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多维注意力融合，输出0-5分</w:t>
            </w:r>
          </w:p>
        </w:tc>
        <w:tc>
          <w:tcPr>
            <w:tcW w:w="1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C17F2A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ai_scores.csv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（含舒适度、安全感等4维）</w:t>
            </w:r>
          </w:p>
        </w:tc>
      </w:tr>
      <w:tr w14:paraId="3A2E02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86EE8E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Step 7</w:t>
            </w:r>
          </w:p>
        </w:tc>
        <w:tc>
          <w:tcPr>
            <w:tcW w:w="17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7A8AFC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图像重绘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32D7BC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ControlNet(Canny)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, </w:t>
            </w: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Prompt="add vertical greening"</w:t>
            </w:r>
          </w:p>
        </w:tc>
        <w:tc>
          <w:tcPr>
            <w:tcW w:w="24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8B409C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:highlight w:val="cyan"/>
                <w14:textFill>
                  <w14:solidFill>
                    <w14:schemeClr w14:val="tx1"/>
                  </w14:solidFill>
                </w14:textFill>
              </w:rPr>
              <w:t>固定结构，修改纹理材质，生成5个干预等级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（GVF从10%递增至60%）</w:t>
            </w:r>
          </w:p>
        </w:tc>
        <w:tc>
          <w:tcPr>
            <w:tcW w:w="1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3A5725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vr_stimuli/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（5组干预全景图）</w:t>
            </w:r>
          </w:p>
        </w:tc>
      </w:tr>
      <w:tr w14:paraId="3B23D3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1B3857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Step 8</w:t>
            </w:r>
          </w:p>
        </w:tc>
        <w:tc>
          <w:tcPr>
            <w:tcW w:w="17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4D1874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VR实验采集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AFF27B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Sampling_Rate=1000Hz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, </w:t>
            </w: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Event_Marker=Scene_Start</w:t>
            </w:r>
          </w:p>
        </w:tc>
        <w:tc>
          <w:tcPr>
            <w:tcW w:w="24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F63871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X-Agent同步播放，采集HRV（RMSSD）与EDA（SCL）</w:t>
            </w:r>
          </w:p>
        </w:tc>
        <w:tc>
          <w:tcPr>
            <w:tcW w:w="1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E02623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physio_raw.edf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 + 事件时间戳</w:t>
            </w:r>
          </w:p>
        </w:tc>
      </w:tr>
      <w:tr w14:paraId="73C284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73A83C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Step 9</w:t>
            </w:r>
          </w:p>
        </w:tc>
        <w:tc>
          <w:tcPr>
            <w:tcW w:w="17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09EE3F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生理验证（核心）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05C8AA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alpha=0.05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, </w:t>
            </w: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Feature_Importance=SHAP</w:t>
            </w:r>
          </w:p>
        </w:tc>
        <w:tc>
          <w:tcPr>
            <w:tcW w:w="24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F02389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:highlight w:val="cyan"/>
                <w14:textFill>
                  <w14:solidFill>
                    <w14:schemeClr w14:val="tx1"/>
                  </w14:solidFill>
                </w14:textFill>
              </w:rPr>
              <w:t>混合模型分析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，拟合</w:t>
            </w: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非线性回归曲线</w:t>
            </w:r>
          </w:p>
        </w:tc>
        <w:tc>
          <w:tcPr>
            <w:tcW w:w="1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900953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validation_report.html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（含阈值拐点）</w:t>
            </w:r>
          </w:p>
        </w:tc>
      </w:tr>
      <w:tr w14:paraId="687D61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6AA9AB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Step 10</w:t>
            </w:r>
          </w:p>
        </w:tc>
        <w:tc>
          <w:tcPr>
            <w:tcW w:w="17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FBAD5B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参数化生成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366AA8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Grasshopper_Sliders=[GVF, Opacity]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, </w:t>
            </w: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Optimizer=Wallacei</w:t>
            </w:r>
          </w:p>
        </w:tc>
        <w:tc>
          <w:tcPr>
            <w:tcW w:w="24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A66666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以生理增益为适应度，约束参数边界</w:t>
            </w:r>
          </w:p>
        </w:tc>
        <w:tc>
          <w:tcPr>
            <w:tcW w:w="1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B3602C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.gh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文件 + 帕累托方案集</w:t>
            </w:r>
          </w:p>
        </w:tc>
      </w:tr>
      <w:tr w14:paraId="63DD15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0902AF">
            <w:pPr>
              <w:widowControl/>
              <w:snapToGrid w:val="0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Step 11</w:t>
            </w:r>
          </w:p>
        </w:tc>
        <w:tc>
          <w:tcPr>
            <w:tcW w:w="17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B8C805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汇报交互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DE367E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var(--ds-font-family-code)" w:eastAsia="宋体" w:cs="宋体"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Dashboard_Control=Lock</w:t>
            </w:r>
          </w:p>
        </w:tc>
        <w:tc>
          <w:tcPr>
            <w:tcW w:w="24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DD4EFA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将阈值参数设为硬约束，禁止超限设计</w:t>
            </w:r>
          </w:p>
        </w:tc>
        <w:tc>
          <w:tcPr>
            <w:tcW w:w="1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2B8013">
            <w:pPr>
              <w:widowControl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交互式大屏演示 + 设计导则草案</w:t>
            </w:r>
          </w:p>
        </w:tc>
      </w:tr>
    </w:tbl>
    <w:p w14:paraId="339526E0">
      <w:pPr>
        <w:widowControl/>
        <w:shd w:val="clear" w:color="auto" w:fill="FFFFFF"/>
        <w:spacing w:before="480" w:after="48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pict>
          <v:rect id="_x0000_i1026" o:spt="1" style="height:0.05pt;width:414.9pt;" fillcolor="#A0A0A0" filled="t" stroked="f" coordsize="21600,21600" o:hr="t" o:hrstd="t" o:hrpct="999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012C79">
      <w:pPr>
        <w:widowControl/>
        <w:shd w:val="clear" w:color="auto" w:fill="FFFFFF"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二、成果展示场景预设与核心科学发现</w:t>
      </w:r>
    </w:p>
    <w:p w14:paraId="54141AA3">
      <w:pPr>
        <w:widowControl/>
        <w:shd w:val="clear" w:color="auto" w:fill="FFFFFF"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在最终汇报的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“循证决策”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环节，我们通过仪表盘可视化展示该巷口空间的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“绿视率(GVF)干预实验”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结果，具体体现有效作用域与边际递减阈值。</w:t>
      </w:r>
    </w:p>
    <w:p w14:paraId="224EC2A6">
      <w:pPr>
        <w:widowControl/>
        <w:shd w:val="clear" w:color="auto" w:fill="FFFFFF"/>
        <w:spacing w:before="240" w:after="240"/>
        <w:jc w:val="left"/>
        <w:outlineLvl w:val="3"/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  <w:t>1. 展示场景：干预剂量-心理效益曲线图</w:t>
      </w:r>
    </w:p>
    <w:p w14:paraId="428E0F34">
      <w:pPr>
        <w:widowControl/>
        <w:shd w:val="clear" w:color="auto" w:fill="FFFFFF"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大屏左侧展示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散点拟合图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（X轴：AI生成的绿视率干预等级 10%~60%；Y轴：VR实验中实测的HRV-RMSSD变化率（反映副交感神经激活，值越高越放松））。</w:t>
      </w:r>
    </w:p>
    <w:p w14:paraId="5EEA20DF">
      <w:pPr>
        <w:widowControl/>
        <w:numPr>
          <w:ilvl w:val="0"/>
          <w:numId w:val="1"/>
        </w:numPr>
        <w:shd w:val="clear" w:color="auto" w:fill="FFFFFF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红色虚线（有效作用域）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：标注 GVF 在 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22% ~ 46%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 区间。统计检验（p&lt;0.01）显示，在此区间内，绿视率每提升1%，HRV放松指数显著上升（β=0.32）。当GVF低于22%时（如只有地坪草），视觉单调，心理效益无显著变化（p&gt;0.05）。</w:t>
      </w:r>
    </w:p>
    <w:p w14:paraId="56FBE2D4">
      <w:pPr>
        <w:widowControl/>
        <w:numPr>
          <w:ilvl w:val="0"/>
          <w:numId w:val="1"/>
        </w:numPr>
        <w:shd w:val="clear" w:color="auto" w:fill="FFFFFF"/>
        <w:spacing w:after="12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绿色高亮点（边际递减阈值）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：曲线在 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GVF = 42%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 处明显出现“肘点”（Elbow Point）。</w:t>
      </w:r>
    </w:p>
    <w:p w14:paraId="1839B45D">
      <w:pPr>
        <w:widowControl/>
        <w:numPr>
          <w:ilvl w:val="1"/>
          <w:numId w:val="1"/>
        </w:numPr>
        <w:shd w:val="clear" w:color="auto" w:fill="FFFFFF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i/>
          <w:i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现象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：当绿化从42%增至46%时，效益仅提升0.5%；当超过46%直至60%，曲线几乎变平（斜率趋近于0），且部分被试反馈“过于荫蔽，安全感下降”（EDA皮电出现应激回升）。</w:t>
      </w:r>
    </w:p>
    <w:p w14:paraId="78C902FD">
      <w:pPr>
        <w:widowControl/>
        <w:numPr>
          <w:ilvl w:val="1"/>
          <w:numId w:val="1"/>
        </w:numPr>
        <w:shd w:val="clear" w:color="auto" w:fill="FFFFFF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i/>
          <w:i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结论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：该窄巷空间的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最优经济阈值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为 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42% GVF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。超过此值，不仅预算浪费，过度植被还会因遮挡冬季日照和形成视线死角，引发负面心理效应。</w:t>
      </w:r>
    </w:p>
    <w:p w14:paraId="52848E62">
      <w:pPr>
        <w:widowControl/>
        <w:shd w:val="clear" w:color="auto" w:fill="FFFFFF"/>
        <w:spacing w:before="240" w:after="120"/>
        <w:jc w:val="left"/>
        <w:outlineLvl w:val="3"/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  <w:t>2. 该阈值在技术接口中的硬性传导</w:t>
      </w:r>
    </w:p>
    <w:p w14:paraId="425723C9">
      <w:pPr>
        <w:widowControl/>
        <w:numPr>
          <w:ilvl w:val="0"/>
          <w:numId w:val="2"/>
        </w:numPr>
        <w:shd w:val="clear" w:color="auto" w:fill="FFFFFF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在Step 10（参数化设计）中的落地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：Grasshopper 中的 </w:t>
      </w:r>
      <w:r>
        <w:rPr>
          <w:rFonts w:ascii="var(--ds-font-family-code)" w:hAnsi="var(--ds-font-family-code)" w:eastAsia="宋体" w:cs="宋体"/>
          <w:color w:val="000000" w:themeColor="text1"/>
          <w:kern w:val="0"/>
          <w:sz w:val="18"/>
          <w:szCs w:val="18"/>
          <w14:textFill>
            <w14:solidFill>
              <w14:schemeClr w14:val="tx1"/>
            </w14:solidFill>
          </w14:textFill>
        </w:rPr>
        <w:t>GVF_Slider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 并非自由滑动。我们利用Step 9产出的 </w:t>
      </w:r>
      <w:r>
        <w:rPr>
          <w:rFonts w:ascii="var(--ds-font-family-code)" w:hAnsi="var(--ds-font-family-code)" w:eastAsia="宋体" w:cs="宋体"/>
          <w:color w:val="000000" w:themeColor="text1"/>
          <w:kern w:val="0"/>
          <w:sz w:val="18"/>
          <w:szCs w:val="18"/>
          <w14:textFill>
            <w14:solidFill>
              <w14:schemeClr w14:val="tx1"/>
            </w14:solidFill>
          </w14:textFill>
        </w:rPr>
        <w:t>threshold_value = 42%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 作为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最大约束上限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。</w:t>
      </w:r>
    </w:p>
    <w:p w14:paraId="2404BC39">
      <w:pPr>
        <w:widowControl/>
        <w:numPr>
          <w:ilvl w:val="0"/>
          <w:numId w:val="2"/>
        </w:numPr>
        <w:shd w:val="clear" w:color="auto" w:fill="FFFFFF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交互演示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：专家或听众在大屏上尝试将滑块推向60%时，系统触发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红色警报弹窗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：“警告：超出边际递减阈值（42%），继续增加将降低空间安全感，建议优化植物群落结构而非增加面积。”同时，D-Agent自动将多余预算转化为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中层花灌木的物种丰富度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参数，使空间从“绿量堆积”转向“生物多样性感知”。</w:t>
      </w:r>
    </w:p>
    <w:p w14:paraId="64B5A741">
      <w:pPr>
        <w:widowControl/>
        <w:shd w:val="clear" w:color="auto" w:fill="FFFFFF"/>
        <w:spacing w:before="480" w:after="48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pict>
          <v:rect id="_x0000_i1027" o:spt="1" style="height:0.05pt;width:414.9pt;" fillcolor="#A0A0A0" filled="t" stroked="f" coordsize="21600,21600" o:hr="t" o:hrstd="t" o:hrpct="999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DE4C92">
      <w:pPr>
        <w:widowControl/>
        <w:shd w:val="clear" w:color="auto" w:fill="FFFFFF"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三、延伸应用：不同情境下的“动态阈值”展示</w:t>
      </w:r>
    </w:p>
    <w:p w14:paraId="162C3C5B">
      <w:pPr>
        <w:widowControl/>
        <w:shd w:val="clear" w:color="auto" w:fill="FFFFFF"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为了体现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情境（拥挤度）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对阈值的调制作用，系统还展示了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3D曲面热力图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</w:t>
      </w:r>
    </w:p>
    <w:p w14:paraId="3A143531">
      <w:pPr>
        <w:widowControl/>
        <w:numPr>
          <w:ilvl w:val="0"/>
          <w:numId w:val="3"/>
        </w:numPr>
        <w:shd w:val="clear" w:color="auto" w:fill="FFFFFF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高拥挤度（15人/百平米）情境下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：边际递减阈值从42% 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骤降至 32%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。因为人流遮挡视线，过密绿化加剧局促感。</w:t>
      </w:r>
    </w:p>
    <w:p w14:paraId="3449733E">
      <w:pPr>
        <w:widowControl/>
        <w:numPr>
          <w:ilvl w:val="0"/>
          <w:numId w:val="3"/>
        </w:numPr>
        <w:shd w:val="clear" w:color="auto" w:fill="FFFFFF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有效作用域收窄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：系统自动将Step 10中的参数包（Param Bundle）切换为“高密度时段配置”，自动调低绿化覆盖率上限，转而增加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墙面镜面反射材质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（提升空间通透感）。</w:t>
      </w:r>
    </w:p>
    <w:p w14:paraId="00D6CE38">
      <w:pPr>
        <w:widowControl/>
        <w:shd w:val="clear" w:color="auto" w:fill="FFFFFF"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总结</w:t>
      </w:r>
    </w:p>
    <w:p w14:paraId="4BB1F2C4">
      <w:pPr>
        <w:widowControl/>
        <w:shd w:val="clear" w:color="auto" w:fill="FFFFFF"/>
        <w:spacing w:before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该Pipeline使得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“有效作用域（22%-46%）”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和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“边际递减阈值（42%/32%动态值）”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不再是经验猜测，而是作为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硬性数据锚点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内嵌于AI评分模型（Step 6）的Loss函数和Grasshopper（Step 10）的约束条件中。最终的设计策略彻底摒弃了“绿化越多越好”的粗放思维，实现了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基于人因证据的精准空间施治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。</w:t>
      </w:r>
    </w:p>
    <w:p w14:paraId="04BB1A6E">
      <w:pPr>
        <w:widowControl/>
        <w:jc w:val="left"/>
        <w:rPr>
          <w:rFonts w:ascii="宋体" w:hAnsi="宋体" w:eastAsia="宋体" w:cs="宋体"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</w:p>
    <w:p w14:paraId="13BB807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sectPr>
      <w:pgSz w:w="11900" w:h="16840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var(--ds-font-family-code)">
    <w:altName w:val="Cambria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decorative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6D48C3"/>
    <w:multiLevelType w:val="multilevel"/>
    <w:tmpl w:val="1F6D48C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662C7D50"/>
    <w:multiLevelType w:val="multilevel"/>
    <w:tmpl w:val="662C7D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7B566BEE"/>
    <w:multiLevelType w:val="multilevel"/>
    <w:tmpl w:val="7B566B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6FCA"/>
    <w:rsid w:val="000F6FCA"/>
    <w:rsid w:val="0048466E"/>
    <w:rsid w:val="00501F15"/>
    <w:rsid w:val="00753903"/>
    <w:rsid w:val="008C21C8"/>
    <w:rsid w:val="00B37FB3"/>
    <w:rsid w:val="00B85E18"/>
    <w:rsid w:val="00C71115"/>
    <w:rsid w:val="00F5465F"/>
    <w:rsid w:val="37411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8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7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5">
    <w:name w:val="Strong"/>
    <w:basedOn w:val="14"/>
    <w:qFormat/>
    <w:uiPriority w:val="22"/>
    <w:rPr>
      <w:b/>
      <w:bCs/>
    </w:rPr>
  </w:style>
  <w:style w:type="character" w:styleId="16">
    <w:name w:val="Emphasis"/>
    <w:basedOn w:val="14"/>
    <w:qFormat/>
    <w:uiPriority w:val="20"/>
    <w:rPr>
      <w:i/>
      <w:iCs/>
    </w:rPr>
  </w:style>
  <w:style w:type="character" w:styleId="17">
    <w:name w:val="HTML Code"/>
    <w:basedOn w:val="14"/>
    <w:semiHidden/>
    <w:unhideWhenUsed/>
    <w:uiPriority w:val="99"/>
    <w:rPr>
      <w:rFonts w:ascii="宋体" w:hAnsi="宋体" w:eastAsia="宋体" w:cs="宋体"/>
      <w:sz w:val="24"/>
      <w:szCs w:val="24"/>
    </w:rPr>
  </w:style>
  <w:style w:type="character" w:customStyle="1" w:styleId="18">
    <w:name w:val="标题 1 字符"/>
    <w:basedOn w:val="14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9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标题 3 字符"/>
    <w:basedOn w:val="14"/>
    <w:link w:val="4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标题 4 字符"/>
    <w:basedOn w:val="14"/>
    <w:link w:val="5"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2">
    <w:name w:val="标题 5 字符"/>
    <w:basedOn w:val="14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3">
    <w:name w:val="标题 6 字符"/>
    <w:basedOn w:val="14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4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4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4"/>
    <w:qFormat/>
    <w:uiPriority w:val="21"/>
    <w:rPr>
      <w:i/>
      <w:iCs/>
      <w:color w:val="2F5597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4">
    <w:name w:val="明显引用 字符"/>
    <w:basedOn w:val="14"/>
    <w:link w:val="33"/>
    <w:uiPriority w:val="30"/>
    <w:rPr>
      <w:i/>
      <w:iCs/>
      <w:color w:val="2F5597" w:themeColor="accent1" w:themeShade="BF"/>
    </w:rPr>
  </w:style>
  <w:style w:type="character" w:customStyle="1" w:styleId="35">
    <w:name w:val="Intense Reference"/>
    <w:basedOn w:val="14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36">
    <w:name w:val="ds-markdown-paragraph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1525</Words>
  <Characters>2325</Characters>
  <Lines>17</Lines>
  <Paragraphs>4</Paragraphs>
  <TotalTime>21</TotalTime>
  <ScaleCrop>false</ScaleCrop>
  <LinksUpToDate>false</LinksUpToDate>
  <CharactersWithSpaces>2399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2026-06-24T03:19:00Z</dcterms:created>
  <dc:creator>Qin Liu</dc:creator>
  <cp:lastModifiedBy>千林年</cp:lastModifiedBy>
  <dcterms:modified xsi:type="dcterms:W3CDTF">2026-07-09T06:46:45Z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eyJoZGlkIjoiOTQzNjVkZjZhZDRjYjY0MTY5ZjU0MjBlZmIwYTFmZTgiLCJ1c2VySWQiOiIxMTc0MjY3NDk1In0=</vt:lpwstr>
  </property>
  <property fmtid="{D5CDD505-2E9C-101B-9397-08002B2CF9AE}" pid="3" name="KSOProductBuildVer">
    <vt:lpwstr>2052-12.1.0.26895</vt:lpwstr>
  </property>
  <property fmtid="{D5CDD505-2E9C-101B-9397-08002B2CF9AE}" pid="4" name="ICV">
    <vt:lpwstr>F5E84FBE86074F43883115095FFC0D78_12</vt:lpwstr>
  </property>
</Properties>
</file>