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002A7">
      <w:pPr>
        <w:snapToGrid w:val="0"/>
        <w:spacing w:line="660" w:lineRule="exact"/>
        <w:rPr>
          <w:rFonts w:hint="eastAsia" w:ascii="黑体" w:hAnsi="黑体" w:eastAsia="黑体"/>
          <w:bCs/>
          <w:sz w:val="32"/>
          <w:lang w:val="en-US" w:eastAsia="zh-CN"/>
        </w:rPr>
      </w:pPr>
      <w:r>
        <w:rPr>
          <w:rFonts w:hint="eastAsia" w:ascii="黑体" w:hAnsi="黑体" w:eastAsia="黑体" w:cs="黑体"/>
          <w:bCs/>
          <w:sz w:val="32"/>
        </w:rPr>
        <w:t>附件</w:t>
      </w:r>
      <w:r>
        <w:rPr>
          <w:rFonts w:hint="eastAsia" w:ascii="黑体" w:hAnsi="黑体" w:eastAsia="黑体" w:cs="黑体"/>
          <w:bCs/>
          <w:sz w:val="32"/>
          <w:lang w:val="en-US" w:eastAsia="zh-CN"/>
        </w:rPr>
        <w:t>3</w:t>
      </w:r>
    </w:p>
    <w:p w14:paraId="3550F5EA">
      <w:pPr>
        <w:snapToGrid w:val="0"/>
        <w:spacing w:line="660" w:lineRule="exact"/>
        <w:jc w:val="center"/>
        <w:rPr>
          <w:rFonts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浙江省建设科研项目申报表</w:t>
      </w:r>
    </w:p>
    <w:p w14:paraId="4741549C">
      <w:pPr>
        <w:snapToGrid w:val="0"/>
        <w:spacing w:line="660" w:lineRule="exact"/>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w:t>
      </w:r>
      <w:r>
        <w:rPr>
          <w:rFonts w:ascii="Times New Roman" w:hAnsi="Times New Roman" w:eastAsia="楷体_GB2312" w:cs="Times New Roman"/>
          <w:sz w:val="32"/>
          <w:szCs w:val="32"/>
        </w:rPr>
        <w:t>202</w:t>
      </w:r>
      <w:r>
        <w:rPr>
          <w:rFonts w:hint="eastAsia" w:ascii="Times New Roman" w:hAnsi="Times New Roman" w:eastAsia="楷体_GB2312" w:cs="Times New Roman"/>
          <w:sz w:val="32"/>
          <w:szCs w:val="32"/>
          <w:lang w:val="en-US" w:eastAsia="zh-CN"/>
        </w:rPr>
        <w:t>6</w:t>
      </w:r>
      <w:r>
        <w:rPr>
          <w:rFonts w:hint="eastAsia" w:ascii="楷体_GB2312" w:hAnsi="楷体_GB2312" w:eastAsia="楷体_GB2312" w:cs="楷体_GB2312"/>
          <w:sz w:val="32"/>
          <w:szCs w:val="32"/>
        </w:rPr>
        <w:t>年度）</w:t>
      </w:r>
    </w:p>
    <w:p w14:paraId="3315AFD5">
      <w:pPr>
        <w:snapToGrid w:val="0"/>
        <w:spacing w:line="660" w:lineRule="exact"/>
        <w:rPr>
          <w:sz w:val="28"/>
        </w:rPr>
      </w:pPr>
    </w:p>
    <w:p w14:paraId="616FE1CC">
      <w:pPr>
        <w:snapToGrid w:val="0"/>
        <w:spacing w:after="158" w:afterLines="50" w:line="660" w:lineRule="exact"/>
        <w:ind w:firstLine="1056" w:firstLineChars="300"/>
        <w:rPr>
          <w:rFonts w:hint="eastAsia" w:ascii="黑体" w:eastAsia="黑体"/>
          <w:bCs/>
          <w:spacing w:val="16"/>
          <w:sz w:val="32"/>
          <w:szCs w:val="32"/>
        </w:rPr>
      </w:pPr>
      <w:r>
        <w:rPr>
          <w:rFonts w:hint="eastAsia" w:ascii="黑体" w:eastAsia="黑体"/>
          <w:bCs/>
          <w:spacing w:val="16"/>
          <w:sz w:val="32"/>
          <w:szCs w:val="32"/>
        </w:rPr>
        <w:t>项目名称：装配式内装技术知识库构建与面向公众的智能问答系统研究</w:t>
      </w:r>
    </w:p>
    <w:p w14:paraId="0C52D8F5">
      <w:pPr>
        <w:snapToGrid w:val="0"/>
        <w:spacing w:after="158" w:afterLines="50" w:line="660" w:lineRule="exact"/>
        <w:ind w:firstLine="1056" w:firstLineChars="300"/>
        <w:rPr>
          <w:rFonts w:ascii="黑体" w:eastAsia="黑体"/>
          <w:bCs/>
          <w:spacing w:val="16"/>
          <w:sz w:val="32"/>
          <w:szCs w:val="32"/>
        </w:rPr>
      </w:pPr>
      <w:r>
        <w:rPr>
          <w:rFonts w:hint="eastAsia" w:ascii="黑体" w:eastAsia="黑体"/>
          <w:bCs/>
          <w:spacing w:val="16"/>
          <w:sz w:val="32"/>
          <w:szCs w:val="32"/>
        </w:rPr>
        <w:t xml:space="preserve">             生成技术研究</w:t>
      </w:r>
    </w:p>
    <w:p w14:paraId="72425751">
      <w:pPr>
        <w:snapToGrid w:val="0"/>
        <w:spacing w:line="660" w:lineRule="exact"/>
        <w:rPr>
          <w:sz w:val="28"/>
        </w:rPr>
      </w:pPr>
    </w:p>
    <w:p w14:paraId="639DDCF2">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 xml:space="preserve">第一申报单位：【申报单位名称】（盖章）</w:t>
      </w:r>
    </w:p>
    <w:p w14:paraId="618E8019">
      <w:pPr>
        <w:snapToGrid w:val="0"/>
        <w:spacing w:after="158" w:afterLines="50" w:line="660" w:lineRule="exact"/>
        <w:ind w:firstLine="1120" w:firstLineChars="350"/>
        <w:jc w:val="left"/>
        <w:rPr>
          <w:rFonts w:hint="eastAsia" w:ascii="仿宋_GB2312" w:hAnsi="宋体" w:eastAsia="仿宋_GB2312"/>
          <w:bCs/>
          <w:sz w:val="32"/>
          <w:szCs w:val="32"/>
        </w:rPr>
      </w:pPr>
      <w:r>
        <w:rPr>
          <w:rFonts w:hint="eastAsia" w:ascii="仿宋_GB2312" w:hAnsi="宋体" w:eastAsia="仿宋_GB2312"/>
          <w:bCs/>
          <w:sz w:val="32"/>
          <w:szCs w:val="32"/>
        </w:rPr>
        <w:t xml:space="preserve">协作单位：【协作单位一】（盖章）</w:t>
      </w:r>
    </w:p>
    <w:p w14:paraId="03114065">
      <w:pPr>
        <w:snapToGrid w:val="0"/>
        <w:spacing w:after="158" w:afterLines="50" w:line="660" w:lineRule="exact"/>
        <w:ind w:firstLine="2720" w:firstLineChars="850"/>
        <w:jc w:val="left"/>
        <w:rPr>
          <w:rFonts w:hint="eastAsia" w:ascii="仿宋_GB2312" w:hAnsi="宋体" w:eastAsia="仿宋_GB2312"/>
          <w:bCs/>
          <w:sz w:val="32"/>
          <w:szCs w:val="32"/>
        </w:rPr>
      </w:pPr>
      <w:r>
        <w:rPr>
          <w:rFonts w:hint="eastAsia" w:ascii="仿宋_GB2312" w:hAnsi="宋体" w:eastAsia="仿宋_GB2312"/>
          <w:bCs/>
          <w:sz w:val="32"/>
          <w:szCs w:val="32"/>
        </w:rPr>
        <w:t xml:space="preserve">【协作单位二】（盖章）</w:t>
      </w:r>
    </w:p>
    <w:p w14:paraId="17AB9C82">
      <w:pPr>
        <w:snapToGrid w:val="0"/>
        <w:spacing w:after="158" w:afterLines="50" w:line="660" w:lineRule="exact"/>
        <w:ind w:firstLine="2720" w:firstLineChars="850"/>
        <w:jc w:val="left"/>
        <w:rPr>
          <w:rFonts w:hint="eastAsia" w:ascii="仿宋_GB2312" w:hAnsi="宋体" w:eastAsia="仿宋_GB2312"/>
          <w:bCs/>
          <w:sz w:val="32"/>
          <w:szCs w:val="32"/>
          <w:lang w:val="en-US" w:eastAsia="zh-CN"/>
        </w:rPr>
      </w:pPr>
      <w:r>
        <w:rPr>
          <w:rFonts w:hint="eastAsia" w:ascii="仿宋_GB2312" w:hAnsi="宋体" w:eastAsia="仿宋_GB2312"/>
          <w:bCs/>
          <w:sz w:val="32"/>
          <w:szCs w:val="32"/>
          <w:lang w:val="en-US" w:eastAsia="zh-CN"/>
        </w:rPr>
        <w:t xml:space="preserve"/>
      </w:r>
    </w:p>
    <w:p w14:paraId="5DCDC5C7">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起止年限：2026年10月至2028年9月</w:t>
      </w:r>
    </w:p>
    <w:p w14:paraId="0B2C4080">
      <w:pPr>
        <w:snapToGrid w:val="0"/>
        <w:spacing w:after="158" w:afterLines="50" w:line="660" w:lineRule="exact"/>
        <w:ind w:firstLine="1120" w:firstLineChars="350"/>
        <w:rPr>
          <w:rFonts w:ascii="仿宋_GB2312" w:hAnsi="宋体" w:eastAsia="仿宋_GB2312"/>
          <w:bCs/>
          <w:sz w:val="32"/>
          <w:szCs w:val="32"/>
          <w:u w:val="single"/>
        </w:rPr>
      </w:pPr>
      <w:r>
        <w:rPr>
          <w:rFonts w:hint="eastAsia" w:ascii="仿宋_GB2312" w:hAnsi="宋体" w:eastAsia="仿宋_GB2312"/>
          <w:bCs/>
          <w:sz w:val="32"/>
          <w:szCs w:val="32"/>
        </w:rPr>
        <w:t xml:space="preserve">联 系 人：【联系人】        联系电话：【电话】</w:t>
      </w:r>
    </w:p>
    <w:p w14:paraId="31041FDD">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 xml:space="preserve">通讯地址：【通讯地址】</w:t>
      </w:r>
    </w:p>
    <w:p w14:paraId="4CF4DBBB">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 xml:space="preserve">邮    编：【邮编】</w:t>
      </w:r>
    </w:p>
    <w:p w14:paraId="6CA95278">
      <w:pPr>
        <w:snapToGrid w:val="0"/>
        <w:spacing w:line="660" w:lineRule="exact"/>
        <w:jc w:val="center"/>
        <w:rPr>
          <w:rFonts w:ascii="仿宋_GB2312" w:hAnsi="宋体" w:eastAsia="仿宋_GB2312"/>
          <w:bCs/>
          <w:sz w:val="32"/>
          <w:szCs w:val="32"/>
        </w:rPr>
        <w:sectPr>
          <w:headerReference r:id="rId5" w:type="default"/>
          <w:pgSz w:w="12472" w:h="15874"/>
          <w:pgMar w:top="1644" w:right="1644" w:bottom="1644" w:left="1644" w:header="851" w:footer="992" w:gutter="0"/>
          <w:pgNumType w:start="1"/>
          <w:cols w:space="0" w:num="1"/>
          <w:titlePg/>
          <w:docGrid w:type="lines" w:linePitch="316" w:charSpace="0"/>
        </w:sectPr>
      </w:pPr>
      <w:r>
        <w:rPr>
          <w:rFonts w:hint="eastAsia" w:ascii="仿宋_GB2312" w:hAnsi="宋体" w:eastAsia="仿宋_GB2312"/>
          <w:b/>
          <w:sz w:val="32"/>
          <w:szCs w:val="32"/>
        </w:rPr>
        <w:t>浙江省住房和城乡建设厅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08" w:type="dxa"/>
          <w:bottom w:w="113" w:type="dxa"/>
          <w:right w:w="108" w:type="dxa"/>
        </w:tblCellMar>
      </w:tblPr>
      <w:tblGrid>
        <w:gridCol w:w="1058"/>
        <w:gridCol w:w="354"/>
        <w:gridCol w:w="984"/>
        <w:gridCol w:w="99"/>
        <w:gridCol w:w="239"/>
        <w:gridCol w:w="797"/>
        <w:gridCol w:w="1058"/>
        <w:gridCol w:w="906"/>
        <w:gridCol w:w="299"/>
        <w:gridCol w:w="187"/>
        <w:gridCol w:w="1213"/>
        <w:gridCol w:w="580"/>
        <w:gridCol w:w="1400"/>
      </w:tblGrid>
      <w:tr w14:paraId="60DF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3B73ACF3">
            <w:pPr>
              <w:keepNext w:val="0"/>
              <w:keepLines w:val="0"/>
              <w:suppressLineNumbers w:val="0"/>
              <w:snapToGrid w:val="0"/>
              <w:spacing w:before="0" w:beforeAutospacing="0" w:after="0" w:afterAutospacing="0"/>
              <w:ind w:left="0" w:right="0"/>
              <w:rPr>
                <w:rFonts w:hint="default" w:eastAsia="黑体"/>
                <w:bCs/>
                <w:sz w:val="28"/>
                <w:szCs w:val="28"/>
              </w:rPr>
            </w:pPr>
            <w:r>
              <w:rPr>
                <w:rFonts w:hint="eastAsia" w:eastAsia="黑体"/>
                <w:bCs/>
                <w:sz w:val="28"/>
                <w:szCs w:val="28"/>
              </w:rPr>
              <w:t>一、研究目的、意义和国内外水平</w:t>
            </w:r>
          </w:p>
        </w:tc>
      </w:tr>
      <w:tr w14:paraId="40C2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 xml:space="preserve">1.1研究目的</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装配式内装（装配化装修）是建筑业工业化、绿色化转型的重要方向。在“双碳”目标与新型建筑工业化政策推动下，国家与浙江省已密集出台政策与技术标准：国家层面有 JGJ/T 491—2021《装配式内装修技术标准》、GB 55038—2025《住宅项目规范》、GB 50325—2020《民用建筑工程室内环境污染控制标准》等；浙江省先后发布《装配式内装修设计导则》（浙建管发〔2024〕72 号）、施工技术要点、施工图审查要点、评价标准、质量验收与监督要点、厨卫换新工程技术导则等成套文件，并配套旧房装修与厨卫改造补贴细则。政策供给不可谓不足，但推广面临突出瓶颈：社会公众对装配式内装认知度低、了解渠道单一、专业政策与规范解读困难。认知低的具体表现为：将装配式内装误解为“廉价拼装”“集装箱房”，对其质量耐久性、环保性缺乏了解；对可享受的补贴政策不知晓、不会申领；遇到质量争议时不知道依据哪份规范维权。实证研究对 476 名消费者的调查显示，“传统观念障碍”是居民抵触装配式内装的最主要预测因素——认知与信任问题已成为制约推广的关键环节。现有宣传方式（展板、宣传手册、单向视频）以“我说你听”的单向传播为主，缺乏互动性与个性化，老百姓“想问没得问、问了没人答、答了看不懂”。</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本课题面向装配式内装的公众科普与专业服务双重需求，研究并构建一套领域专精的智能问答系统（智能体）：以装配式内装领域知识库为根基，将政策文件、标准规范、技术导则、试点案例等专业资料自动解析、切块、建库；用户以自然语言（包括生活化口语）提问，系统以向量检索与 BM25 全文检索混合召回依据，由大模型基于召回片段流式生成带引用溯源的答案；针对“语料不覆盖”的提问建立确定性拒答机制，避免编造；针对“老百姓看不懂专业术语”的核心障碍，研究专业术语与生活化语言的双向转化。系统重点覆盖三类典型场景：一是装修前决策——百姓想了解装配式内装“是什么、好不好、贵不贵”，系统用生活语言解释技术特点与优势并给出条文依据；二是政策享惠——询问旧房装修与厨卫改造补贴的申领条件、流程与材料，系统依据最新政策文件作答并提示时效与适用范围；三是过程咨询——对施工工艺、质量验收依据的疑问，系统引用标准规范原文给出条款级解答并附出处。目标是让普通百姓便捷、直观地掌握装配式内装的技术特点、优势、政策法规及标准规范，提升社会接受度与推广效果。</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总体目标：建成“建得全、答得准、看得懂、信得过、用得上”的装配式内装领域智能问答系统，形成可复制的方法体系并完成试点应用。具体目标分解为五项：①语料基础——建成覆盖国家—省—市三级、标准规范与政策案例兼备的装配式内装领域知识库，脏文档解析成功率不低于 95%；②检索质量——混合检索与重排在基础题集 Recall@k 不低于 0.90、口语题集不低于 0.75；③可信保障——确定性证据闸门使库内误拒率不高于 2%、库外拒答拦截率不低于 90%；④语言转化——专业术语与生活化语言双向转化，公众用户满意度不低于 85%；⑤工程化与示范——形成可复现评测方法与 660 项以上自动化测试保障的服务化系统，完成真实项目试点部署。</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 xml:space="preserve">1.2研究意义</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一是服务装配式内装推广的现实需要。认知度低是政策落地“最后一公里”的堵点：政策文件越密集，群众越需要有人“翻译”成听得懂的话。本系统把权威政策与标准转化为老百姓听得懂的交互式问答——任何时候、任何问题都能得到有出处的解答，直接服务社会接受度提升与行业推广，也为住建部门、试点企业提供政策宣传的智能载体。</w:t>
              <w:br/>
              <w:t>二是解决大模型可信问答与公众科普难题。面向公众的科普问答比专业服务更怕“编造条文”——错误回答会直接误导群众的装修选择与补贴申领决策，且负面影响范围大、纠错成本高。本课题把“答必有据、无据拒答”作为硬约束：所有回答必须引用知识库片段，依据不足时明确拒答并说明原因，从机制上抑制幻觉，为大模型进入民生科普场景提供可信性保障。</w:t>
              <w:br/>
              <w:t>三是解决专业术语与生活化语言的转化难题。术语双向转化是公众服务类智能问答的关键环节，也是本项目最有特色的研究方向：查询侧把口语映射为规范术语以召回正确依据，回答侧把规范条文转写为生活语言以被百姓理解。本课题形成的“领域查找表＋双向改写”方法具有可复制的方法论价值，可迁移至其他政务公开与行业科普领域。</w:t>
              <w:br/>
              <w:t>四是攻克工程文档“脏文档”解析难题。扫描件、缺字体映射的 PDF、正文嵌在表格单元格的 docx 在工程文档中占比不低，解析质量直接决定知识库上限。本课题形成的解析判据、OCR 通道与可复现评测链路，对同类领域知识库建设具有直接参考价值。</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 xml:space="preserve">1.3国内外水平</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1.3.1 国外发展现状</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国外 RAG 技术体系已从“检索＋生成”的基础拼接，演进到分级检索、重排、自我反思与工具增强的成熟工程范式[1][2]。以 Transformer 为核心的预训练语言模型为语义理解与生成提供了统一底座[3]，以稠密向量检索为代表的语义检索擅长语义泛化、以 BM25 为代表的传统词项检索擅长精确术语命中，二者各有所长[4][6]，融合与重排成为提升召回质量的主流路径；面向 RAG 链路的系统性评测方法也在近年逐步建立，幻觉、忠实度与引用准确性成为核心评测维度[5]。在文档智能方向，版面分析、表格结构识别与章节层级还原等文档解析技术持续进步，但多为通用场景设计；面向工程建设这类“长文档、强规范、图表编号密集”场景的针对性研究仍不充分：现有通用方案对工程文档的章节树、表格单元格正文、公式与图表编号等结构化信息利用不足，按字数硬切分块导致上下文丢失的问题普遍存在，且普遍缺乏对“依据不足时拒答”的确定性保障。在公众科普方向上，国外较早开展专业知识的通俗化表达（plain language communication）研究，并在医疗、公共部门等场景验证了“语言可及性”对公众理解与服务满意度的显著影响；聊天机器人已被探索用于公共部门面向市民的咨询答疑。但面向建筑技术类知识的公众问答研究仍然很少，术语通俗化与回答可信性的结合尚未形成系统方法，这正是本课题的切入点。</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1.3.2 国内研究现状</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国内工程建设领域数字化、智能化持续推进，智能建造已成为建筑业高质量发展的重要方向[7]，全国多个城市建设智能建造试点，装配化装修作为建筑工业化的重要抓手被纳入多地试点任务。在文本智能处理方面，统计自然语言处理、机器学习与深度学习奠定了方法基础[8][9][10]，基于预训练模型的自然语言处理方法日趋成熟[11]，知识图谱等技术为领域知识组织提供了参照[12]。近两年，大模型在建设领域的落地研究明显提速：有研究从行业层面系统分析了建筑施工安全大模型的应用挑战、建设路径与典型场景[13]；有研究以大模型构建施工安全多模态知识图谱，实现文本与图像知识的统一表达与推理[14]；也有研究将大模型与 BIM 结合，以自然语言驱动施工进度的识别与更新[15]。上述工作均面向行业内部的生产管理场景，服务对象是专业人员。在装配式内装的公众认知方面，基于创新抵制理论对 476 名消费者的实证调查显示，风险障碍、使用障碍与传统观念构成主要抵触来源，其中传统观念是最强预测因素——它反映的是对现场砌筑工艺的路径依赖与对工业化内装的刻板印象[16]；这说明“看不懂、不信任”是推广的关键堵点。然而应对手段仍停留在行业叙事与单向宣传层面：各地推广依赖展板、开放日、宣传册等传统形式，缺乏面向公众的可交互、个性化知识服务；专业术语的生活化转化多依靠人工编写科普读物，成本高、更新慢，尚未与智能问答结合。政策层面，《“十四五”建筑业发展规划》将装配化装修列为重点方向[17]，浙江省相继出台设计导则、施工技术要点、审查要点与补贴细则等配套文件，但政策配套的公众解读与服务手段仍显薄弱。把领域知识库构建、工程文档解析、混合检索、拒答机制、术语双向转化、可复现评测串成完整可信问答链路的系统性研究仍属空白。</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1.3.3 现状总结与不足</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综上，通用 RAG 框架已具备，但面向装配式内装（尤其面向公众科普）的可信知识库问答仍缺四块：一是领域知识库的系统化构建与治理——现行工作语料零散、无统一目录与版本管理，政策更新无法及时反映到问答中；二是针对工程“脏文档”的稳健解析与混合召回、重排的工程化调优——解析失准与融合失当都会直接降低答案质量；三是确定性证据闸门（可解释拒答）——没有它，公众问答必然在库外问题上“自由发挥”，可信性无从谈起；四是专业术语与生活化语言的双向转化及面向公众的交互式服务形态——这是现有行业类问答系统完全没有覆盖的一层。本课题正是围绕这四块缺口展开，形成“建库—解析—检索—生成—转化—拒答—评测”的完整闭环。</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 xml:space="preserve">参考文献：</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 Lewis P, Perez E, Piktus A, et al. Retrieval-augmented generation for knowledge-intensive NLP tasks[C]//Advances in Neural Information Processing Systems. 2020, 33: 9459-9474.</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[2] Gao Y, Xiong Y, Gao X, et al. Retrieval-augmented generation for large language models: A survey[J]. arXiv preprint arXiv:2312.10997, 2023.</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[3] Vaswani A, Shazeer N, Parmar N, et al. Attention is all you need[C]//Advances in Neural Information Processing Systems. 2017, 30: 5998-6008.</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[4] Karpukhin V, Oğuz B, Min S, et al. Dense passage retrieval for open-domain question answering[C]//Proceedings of the 2020 Conference on Empirical Methods in Natural Language Processing. 2020: 6769-6781.</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[5] Chen J, Lin H, Han X, et al. Benchmarking large language models in retrieval-augmented generation[C]//Proceedings of the AAAI Conference on Artificial Intelligence. 2024, 38(16): 17754-17762.</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[6] Robertson S, Zaragoza H. The probabilistic relevance framework: BM25 and beyond[J]. Foundations and Trends in Information Retrieval, 2009, 3(4): 333-389.</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[7] 陈珂, 丁烈云. 我国智能建造关键领域技术发展的战略思考[J]. 中国工程科学, 2021, 23(4): 64-70.</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[8] 宗成庆. 统计自然语言处理[M]. 2版. 北京: 清华大学出版社, 2013.</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[9] 邱锡鹏. 神经网络与深度学习[M]. 北京: 机械工业出版社, 2020.</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[10] 周志华. 机器学习[M]. 北京: 清华大学出版社, 2016.</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[11] 车万翔, 郭江, 崔一鸣. 自然语言处理——基于预训练模型的方法[M]. 北京: 电子工业出版社, 2021.</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[12] 王昊奋, 漆桂林, 陈华钧. 知识图谱: 方法、实践与应用[M]. 北京: 电子工业出版社, 2019.</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[13] 赵磊, 武彦清, 周大伟, 等. 建筑施工安全领域大语言模型构建思路与方法研究[J]. 土木工程学报, 2025, 58(10): 144-152.</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[14] 董磊, 吴福居, 史健勇, 等. 基于大语言模型的施工安全多模态知识图谱的构建与应用[J]. 计算机工程与应用, 2025, 61(9): 325-333.</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[15] 金新翔, 林啸, 俞欣汝, 等. 基于BIM和大语言模型的施工进度更新方法[J]. 清华大学学报(自然科学版), 2025, 65(1): 35-44.</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[16] Zhao Y, Zhu C, Wei W. Unpacking the cognitive architecture of consumer resistance to prefabricated interior decoration systems in China: An empirical study based on innovation resistance theory[J]. Systems, 2026, 14(5): 475.</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[17] 住房和城乡建设部. “十四五”建筑业发展规划（建市〔2022〕11 号）[Z]. 2022.</w:t>
            </w:r>
          </w:p>
        </w:tc>
      </w:tr>
      <w:tr w14:paraId="7252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5E3AD3C2">
            <w:pPr>
              <w:keepNext w:val="0"/>
              <w:keepLines w:val="0"/>
              <w:suppressLineNumbers w:val="0"/>
              <w:snapToGrid w:val="0"/>
              <w:spacing w:before="0" w:beforeAutospacing="0" w:after="0" w:afterAutospacing="0"/>
              <w:ind w:left="0" w:right="0"/>
              <w:rPr>
                <w:rFonts w:hint="default"/>
                <w:b/>
                <w:sz w:val="28"/>
                <w:szCs w:val="28"/>
              </w:rPr>
            </w:pPr>
            <w:r>
              <w:rPr>
                <w:rFonts w:hint="eastAsia" w:eastAsia="黑体"/>
                <w:bCs/>
                <w:sz w:val="28"/>
                <w:szCs w:val="28"/>
              </w:rPr>
              <w:t>二、项目主要研究内容</w:t>
            </w:r>
          </w:p>
        </w:tc>
      </w:tr>
      <w:tr w14:paraId="5202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本课题不是通用问答系统向建筑领域的简单套用，而是从语料、术语、判据到评测全链路围绕装配式内装领域定制，围绕“建库、解析、检索、生成、转化、评测、服务化”七个方面开展研究，具体内容如下：</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（1）装配式内装领域知识库构建</w:t>
              <w:br/>
              <w:t>研究装配式内装领域知识的系统化采集、组织与治理：知识库按“国家行业标准—省级技术文件—政策文件—技术应用与案例—研究论文”五个类目分层组织。国家层面收录《装配式内装修技术标准》（JGJ/T 491—2021）、《住宅项目规范》（GB 55038—2025）等；省级层面收录浙江省装配式内装修设计导则、施工技术要点、施工图审查要点、评价标准、质量验收与监督要点、厨卫换新工程技术导则、合同示范文本等；政策层面收录旧房装修与厨卫改造补贴细则、设备更新以旧换新举措及市级配套文件；案例层面收录绍兴、宁波等地装配化装修图集、试点实施方案与造价依据；论文层面收录装配式装修减碳、工期效益、可拆卸设计、消费者接受度等研究文献。语料按统一编号与目录规范入库并持续扩充（预留“十五五”及最新政策类目），为系统“专精一个领域”提供数据根基。同步建立知识库版本化治理机制：政策文件换版（如补贴细则年度更新）可增量入库、即时生效并留痕；同一标准的新旧版本（如评价标准现行版与报批稿）并存时标注时效状态，供证据闸门的“资料年”判据调用；入库去重与快照机制保证语料可回溯、评测可复现。</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（2）工程文档结构解析与切块</w:t>
              <w:br/>
              <w:t>研究 .docx/.pdf 工程文档的章节树自动识别，面向导则、标准、图集、政策文件等装配式内装领域典型文档形态优化判据。docx 采用“大纲 → 样式 → 编号”三级判据；pdf 无样式表，采用“正文字号 → 字号/加粗判标题 → 编号定级”的反推方法；解决正文位于表格单元格（含合并单元格重复十余次）、目录页干扰、“1）”公式编号误判为条款编号等问题——这些正是标准规范类文档的高发问题。对扫描件与缺 ToUnicode 字体（乱码）的 PDF 建立视觉模型 OCR 通道，以“按页缓存＋内容寻址”保证可复现：同一页不会因重复调用而消耗额度，也不会因模型更新而静默改变入库内容。切块按章节树而非按字数硬切，embedding 时携带完整层级路径（如“5 装配式内装评价 → 5.2 部品部件 → 条文”），检索命中片段可还原其上下文与出处条款号。建立“解析金丝雀”回归机制，以固定样例文档持续监测判据变更的影响范围。</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（3）混合检索与重排</w:t>
              <w:br/>
              <w:t>研究向量检索与 BM25 全文检索的混合召回：向量召回语义相近依据，BM25 召回精确术语命中，二者经融合（RRF / z-score）与重排后输出。研究通道融合策略、池深与重排参数的选取，在基础题集与口语化题集上量化各召回方式的召回率与 MRR，明确“术语精确命中靠 BM25、语义泛化靠向量”的分工边界。本方向预期创新点：提出适用于工程文档语料的 z-score 跨通道融合方法，解决等权 RRF 融合下展示位被单通道对半分的问题；融合与重排参数的选取全部建立在消融实测数据之上，而非经验设定。针对评测中暴露的“池边界抖动”现象（同一查询多次独立检索，候选集合存在小幅波动，155 题中约 17 题的候选进出池会变化），建立“固定语料快照＋冻结候选＋同日对照”的评测纪律，使任何方法比较都建立在稳定对照之上，避免把检索噪声误读为方法差异。</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（4）证据闸门与可信拒答</w:t>
              <w:br/>
              <w:t>研究大模型问答的确定性拒答机制，包含三类规则判据：候选片段为空；问句点名地域而知识库中无对应文件（含省级文件覆盖市级、直辖市不挂全国的层级处理）；年份过滤（区分“资料年”与“任务期”，识别“到 2027 年”“2021—2023 年间”等区间写法）。拒答基于可解释规则而非分数阈值——实测库内 top1 与库外 top1 相似度完全重叠（库内最低 0.2692、库外最高 0.9999），分数闸门不可用，这是用规则判据的实测依据。装配式内装政策时效性强（如补贴细则逐年更新），资料年与任务期的区分、地域层级判据直接关系政策类问答的准确性。拒答时向用户返回可理解的原因（如“本库暂无台州地区的装配式内装文件”“该问题超出知识库范围”），避免“沉默拒答”损伤公众用户信任。在此基础上，进一步研究基于大模型的“证据充分性判官”作为第二层防线；离线实验已发现该层存在非确定性抖动（同批冻结候选重复判定仍有约 5%~7% 翻转），拟以固定采样参数、多次判定多数表决、“判官只提示、规则才阻断”的接入纪律予以约束，确保不引入新的误拒。</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（5）专业术语与生活化语言的双向转化</w:t>
              <w:br/>
              <w:t>针对服务对象以普通群众为主、专业人员为辅的特点，研究术语的双向转化。查询侧（生活化 → 规范化）：以“查找表”而非“知识层”把口语说法映射为规范术语，在重排查询阶段注入，已完成工程化验证——14 题受控题集上“标准答案片段进入重排池”比例由 11/14 提升至 14/14，口语题集 Recall@k 由 0.640 提升至 0.720；研究单字语素破例、意图词与对象词分组等匹配约束，误触发率控制为零；词表维护纳入管理端工具，支持热更新与误触发审计。回答侧（规范化 → 生活化）：研究面向公众的答案通俗化生成——自动识别答案中的专业术语并附加白话解释，结合工期、费用、环保等生活实例进行类比，控制回答长度与语气；研究“公众模式 / 专业模式”双档位，同一问题按用户身份输出不同深度与措辞的答案。通俗化遵循“不失真”红线：改写前后做语义一致性校验，关键数字、条款号、时限一律不得改变，确保“看得懂”不以“答得不准”为代价。预期创新点：以“领域定制查找表＋提示工程”实现低成本双向转化，无需额外训练模型或引入知识图谱基础设施，方法可迁移至其他公众服务领域。</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（6）评测体系与可复现</w:t>
              <w:br/>
              <w:t>研究工程文档问答的评测方法：题集围绕装配式内装领域构建（基础题、口语题、改写题、独立题、库外拒答题，现有规模为基础 31 道、口语 50 道、库外 33 道、库内对照 122 道），以 Recall@k 与 MRR 为核心指标，指标定义严格（分母为标注的相关项总数）；对公众侧答案引入通俗度与满意度人工评价量表。建立语料快照、解析金丝雀、报告内容哈希（源码指纹＋语料 id 摘要＋服务商/模型/温度身份）等机制，评测缓存带完整身份、关键参数不符即拒绝复用；报告头固化坐标系（模型 / 维度 / 切块参数 / 召回深度 / 融合方式 / 语料快照 / 源码指纹），任何对比实验必须在同一坐标系下进行，杜绝“参数漂移被误读为效果提升”。该评测体系本身也是成果之一——它使每一项技术取舍都有可复现的数据支撑。</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（7）系统服务化与工程化交付</w:t>
              <w:br/>
              <w:t>研究知识库系统的服务化形态与工程化保障：基于 FastAPI 构建开放服务接口与 Web 问答界面（流式输出、引用片段跳转），配套管理端实现文档入库、词表维护、任务监控与语料快照管理；研究基于角色令牌的访问鉴权、查询与维护任务的并发隔离与进程级锁，公众访问端与系统维护端权限隔离；支持单机私有化部署，工程资料与市民对话数据不出内网，满足数据安全要求。面向公众提供可持续的分发渠道（网页嵌入、政务或企业公众号接入等），在真实项目中试点部署，收集使用反馈并迭代——试点中重点观测高频问题分布、拒答合理性与公众满意度，回流优化词表、提示策略与语料缺口。</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为保证成果可考核，设置如下量化指标：脏文档解析成功率不低于 95%（含扫描件 OCR 通道）；基础题集 Recall@k 不低于 0.90，口语题集不低于 0.75；库内题误拒率不高于 2%，库外题拒答拦截率不低于 90%；公众用户满意度（答案通俗度、有用性）不低于 85%；系统支持不少于 20 路并发查询，回答首字延迟不超过 5 秒。</w:t>
            </w:r>
          </w:p>
        </w:tc>
      </w:tr>
      <w:tr w14:paraId="4EC8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3AD2971">
            <w:pPr>
              <w:keepNext w:val="0"/>
              <w:keepLines w:val="0"/>
              <w:suppressLineNumbers w:val="0"/>
              <w:snapToGrid w:val="0"/>
              <w:spacing w:before="0" w:beforeAutospacing="0" w:after="0" w:afterAutospacing="0"/>
              <w:ind w:left="0" w:right="0"/>
              <w:rPr>
                <w:rFonts w:hint="default" w:eastAsia="黑体"/>
                <w:bCs/>
                <w:sz w:val="28"/>
                <w:szCs w:val="28"/>
              </w:rPr>
            </w:pPr>
            <w:r>
              <w:rPr>
                <w:rFonts w:hint="eastAsia" w:eastAsia="黑体"/>
                <w:bCs/>
                <w:sz w:val="28"/>
                <w:szCs w:val="28"/>
              </w:rPr>
              <w:t>三、拟采用的技术路线</w:t>
            </w:r>
          </w:p>
        </w:tc>
      </w:tr>
      <w:tr w14:paraId="74AF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本课题采用“解析建库 → 检索生成 → 治理评测”的主链路，配合“已完成 — 待验证 — 待扩展”的递进实施策略：</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实施上按“语料与需求建设 → 核心方法研发 → 系统集成与试点 → 总结固化”四阶段递进推进：语料与需求阶段完成装配式内装语料的采集治理与公众需求调研，形成高频问题清单（如“补贴怎么领”“和现浇比贵多少”）；核心方法阶段完成文档解析、混合检索、证据闸门、术语双向转化的算法研发与消融验证；系统集成阶段完成服务化封装、Web 问答界面与管理端开发、私有化部署与试点运行；总结固化阶段凝练方法体系，形成技术导则、论文与验收材料。各阶段之间保持数据与结论的双向传递：评测发现的问题回流至语料与算法迭代，试点用户反馈回流至转化词表与提示策略，形成闭环。</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①解析建库层：装配式内装领域语料（标准、导则、政策、图集、案例、论文）经格式判据识别章节树、切块、向量化入库，入库即携带领域类目与章节层级路径。以 SQLite 作为唯一事实来源（项目 / 文档 / 片段 / 任务 / 向量归档），向量库作为可重建索引（numpy / Milvus 可切换），实现“先写索引、再切事实”的原子写入与失败回滚，保证数据一致性。</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②检索生成层：查询先经领域术语查找表做“口语 → 规范术语”映射，再经多通道串行检索（向量＋BM25），融合重排后取前 k 条片段，连同证据闸门判据一并送入大模型流式生成答案；答案按“公众 / 专业”档位做通俗化改写（术语白话解释、实例类比），带片段级引用（文档、章节、页码），证据不足时按规则拒答。</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③治理评测层：以离线评测脚本对召回、重排、拒答、术语扩展分项量化，报告头固化坐标系（模型 / 维度 / 切块参数 / 召回深度 / 融合方式 / 语料快照 / 源码指纹），关键缓存带身份校验，换语料、换模型、换服务商、换提示词自动拒绝复用，保证评测可信。</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已完成工作：系统主体已实现并通过 660 项离线测试，具备 Web 问答界面、管理端与开放服务接口；混合检索在基础 31 题上 Recall@k 由纯向量 0.806 提升至 0.871，口语 50 题由 0.460 提升至 0.640（引入术语扩展后达 0.720）；证据闸门在 122 道库内题上误拒 0 题、33 道库外题上拦截稳定；评测缓存身份校验机制已落地，换语料、换模型、换服务商、换提示词自动拒绝复用。后续工作：面向更大规模、更多脏文档类型的语料扩展解析判据，完善文档级结构化元数据（地域层级、适用范围、实施日期、有效状态），研究证据充分性判官的可用边界，并将评测扩展到独立复核的题库以验证泛化，完成试点部署。</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④风险分析与对策：一是语料规模与多样性不足——对策：多渠道采集真实工程文档，以解析金丝雀回归与人工抽检保障入库质量；二是大模型服务依赖外部供给——对策：适配层支持多服务商切换（已实测同一模型在不同服务商行为存在差异并完成适配），关键参数全部可配置、可回退；三是证据充分性判官的非确定性——对策：坚持“确定性规则阻断、判官仅辅助提示”的接入纪律，判官结论经多次采样多数表决后仅作参考信号；四是工程文档涉密——对策：私有化部署、角色鉴权、语料快照留痕，资料不出内网。</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前期基础：本课题已具备扎实的前期工作——系统主体已实现并通过 660 项离线自动化测试；已建成覆盖五个类目、四十余份文档的装配式内装领域语料库并完成向量化入库实例（75 份文档、2560 个片段）；Web 问答界面、管理端与开放服务接口已可运行；已构建基础、口语、库外拒答、独立复核等多套标注题集与可复现评测流程，具备直接开展试点应用的条件。依托单位具备装配式内装工程实践与政策文件获取渠道，可保障语料持续扩充与试点落地。</w:t>
            </w:r>
          </w:p>
        </w:tc>
      </w:tr>
      <w:tr w14:paraId="4B24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B1B8CAD">
            <w:pPr>
              <w:keepNext w:val="0"/>
              <w:keepLines w:val="0"/>
              <w:suppressLineNumbers w:val="0"/>
              <w:snapToGrid w:val="0"/>
              <w:spacing w:before="0" w:beforeAutospacing="0" w:after="0" w:afterAutospacing="0"/>
              <w:ind w:left="0" w:right="0"/>
              <w:rPr>
                <w:rFonts w:hint="default"/>
                <w:b/>
                <w:sz w:val="28"/>
                <w:szCs w:val="28"/>
              </w:rPr>
            </w:pPr>
            <w:r>
              <w:rPr>
                <w:rFonts w:hint="eastAsia" w:eastAsia="黑体"/>
                <w:bCs/>
                <w:sz w:val="28"/>
                <w:szCs w:val="28"/>
              </w:rPr>
              <w:t>四、拟完成的</w:t>
            </w:r>
            <w:r>
              <w:rPr>
                <w:rFonts w:hint="eastAsia" w:eastAsia="黑体"/>
                <w:sz w:val="28"/>
                <w:szCs w:val="28"/>
              </w:rPr>
              <w:t>研究成果</w:t>
            </w:r>
          </w:p>
        </w:tc>
      </w:tr>
      <w:tr w14:paraId="58FC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1719A54D">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t>装配式内装智能问答系统公众服务试点应用实例</w:t>
            </w:r>
          </w:p>
          <w:p w14:paraId="4A845B25">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52"/>
            </w:r>
            <w:r>
              <w:rPr>
                <w:rFonts w:hint="eastAsia" w:ascii="仿宋_GB2312" w:hAnsi="宋体" w:eastAsia="仿宋_GB2312"/>
                <w:bCs/>
                <w:sz w:val="28"/>
                <w:szCs w:val="28"/>
              </w:rPr>
              <w:t>已录用的核心期刊或</w:t>
            </w:r>
            <w:r>
              <w:rPr>
                <w:rFonts w:hint="default" w:ascii="Times New Roman" w:hAnsi="Times New Roman" w:eastAsia="仿宋_GB2312" w:cs="Times New Roman"/>
                <w:bCs/>
                <w:sz w:val="28"/>
                <w:szCs w:val="28"/>
              </w:rPr>
              <w:t>SCI、EI、ISTP</w:t>
            </w:r>
            <w:r>
              <w:rPr>
                <w:rFonts w:hint="eastAsia" w:ascii="仿宋_GB2312" w:hAnsi="宋体" w:eastAsia="仿宋_GB2312"/>
                <w:bCs/>
                <w:sz w:val="28"/>
                <w:szCs w:val="28"/>
              </w:rPr>
              <w:t xml:space="preserve">论文   </w:t>
            </w:r>
          </w:p>
          <w:p w14:paraId="3585E2B1">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52"/>
            </w:r>
            <w:r>
              <w:rPr>
                <w:rFonts w:hint="eastAsia" w:ascii="仿宋_GB2312" w:hAnsi="宋体" w:eastAsia="仿宋_GB2312"/>
                <w:bCs/>
                <w:sz w:val="28"/>
                <w:szCs w:val="28"/>
              </w:rPr>
              <w:t xml:space="preserve">发明专利或实用新型专利      </w:t>
            </w:r>
            <w:r>
              <w:rPr>
                <w:rFonts w:hint="eastAsia" w:ascii="仿宋_GB2312" w:hAnsi="宋体" w:eastAsia="仿宋_GB2312"/>
                <w:bCs/>
                <w:sz w:val="28"/>
                <w:szCs w:val="28"/>
                <w:lang w:val="en-US" w:eastAsia="zh-CN"/>
              </w:rPr>
              <w:t xml:space="preserve">  </w:t>
            </w:r>
            <w:r>
              <w:rPr>
                <w:rFonts w:hint="eastAsia" w:ascii="仿宋_GB2312" w:hAnsi="宋体" w:eastAsia="仿宋_GB2312"/>
                <w:bCs/>
                <w:sz w:val="28"/>
                <w:szCs w:val="28"/>
              </w:rPr>
              <w:t xml:space="preserve"> </w:t>
            </w: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省级工法 </w:t>
            </w:r>
          </w:p>
          <w:p w14:paraId="300036AC">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通过审查的国家标准、行业标准、地方标准，或正式出版的省级及以上团体标准                         </w:t>
            </w: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省级及以上标准设计图集       </w:t>
            </w:r>
          </w:p>
          <w:p w14:paraId="6E275D6B">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u w:val="single"/>
              </w:rPr>
            </w:pP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正式出版的著作、教材、导则     </w:t>
            </w:r>
            <w:r>
              <w:rPr>
                <w:rFonts w:hint="eastAsia" w:ascii="仿宋_GB2312" w:hAnsi="宋体" w:eastAsia="仿宋_GB2312"/>
                <w:bCs/>
                <w:sz w:val="28"/>
                <w:szCs w:val="28"/>
              </w:rPr>
              <w:sym w:font="Wingdings 2" w:char="0052"/>
            </w:r>
            <w:r>
              <w:rPr>
                <w:rFonts w:hint="eastAsia" w:ascii="仿宋_GB2312" w:hAnsi="宋体" w:eastAsia="仿宋_GB2312"/>
                <w:bCs/>
                <w:sz w:val="28"/>
                <w:szCs w:val="28"/>
              </w:rPr>
              <w:t xml:space="preserve">其他省级以上奖项和荣誉                     </w:t>
            </w:r>
          </w:p>
        </w:tc>
      </w:tr>
      <w:tr w14:paraId="6F45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75BA76A">
            <w:pPr>
              <w:keepNext w:val="0"/>
              <w:keepLines w:val="0"/>
              <w:suppressLineNumbers w:val="0"/>
              <w:snapToGrid w:val="0"/>
              <w:spacing w:before="0" w:beforeAutospacing="0" w:after="0" w:afterAutospacing="0"/>
              <w:ind w:left="0" w:right="0"/>
              <w:rPr>
                <w:rFonts w:hint="default" w:eastAsia="黑体"/>
                <w:sz w:val="28"/>
                <w:szCs w:val="28"/>
              </w:rPr>
            </w:pPr>
            <w:r>
              <w:rPr>
                <w:rFonts w:hint="eastAsia" w:eastAsia="黑体"/>
                <w:sz w:val="28"/>
                <w:szCs w:val="28"/>
              </w:rPr>
              <w:t>五、</w:t>
            </w:r>
            <w:r>
              <w:rPr>
                <w:rFonts w:hint="eastAsia" w:eastAsia="黑体"/>
                <w:bCs/>
                <w:sz w:val="28"/>
                <w:szCs w:val="28"/>
              </w:rPr>
              <w:t>拟达到的主要经济指标和社会效益</w:t>
            </w:r>
          </w:p>
        </w:tc>
      </w:tr>
      <w:tr w14:paraId="50C3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5.1 经济效益</w:t>
              <w:br/>
              <w:t>通过装配式内装智能问答系统的部署，减少企业在规范查阅、政策解答、客户咨询上的人工投入，缩短技术交底与方案编制的前置调研时间；帮助百姓准确理解并用好旧房装修与厨卫改造补贴等政策（补贴申领条件、材料、流程的即时解答可显著降低因“看不懂政策、找错渠道”造成的漏申与纠纷）；降低因“查不到、记不准”导致的返工与沟通成本。以知识库问答替代部分人工答疑与文档翻阅，预期形成不低于 20 万元的综合经济效益，并以试点单位的人效提升与咨询量实测数据予以验证。</w:t>
            </w:r>
          </w:p>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5.2 社会效益</w:t>
              <w:br/>
              <w:t>一是提升装配式内装的社会认知度与接受度。系统把权威政策与标准转化为“随时问、听得懂、有出处”的交互式服务，打通政策落地的“最后一公里”，直接服务装配化装修试点推广与建筑业绿色转型；对“传统观念障碍”这一最强抵触因素给出低成本的化解手段。二是以“答必有据、无据拒答”的可信问答范式开展民生科普，避免错误信息误导群众装修与补贴申领决策，其可信问答机制对政务公开、医疗健康等同类公众服务场景具有示范意义。三是形成的“领域知识库构建＋脏文档解析＋术语双向转化＋可复现评测”方法体系，可复制到企业标准库、图集库及其他政务公开领域。四是系统采用私有化部署架构，工程资料与市民对话数据不出内网，契合数据安全要求；五是问答沉淀的高频问题数据可反哺政策宣传与标准修订，形成“公众反馈—政策优化”的数据闭环。</w:t>
            </w:r>
          </w:p>
        </w:tc>
      </w:tr>
      <w:tr w14:paraId="10DB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74F4B5F7">
            <w:pPr>
              <w:keepNext w:val="0"/>
              <w:keepLines w:val="0"/>
              <w:suppressLineNumbers w:val="0"/>
              <w:snapToGrid w:val="0"/>
              <w:spacing w:before="0" w:beforeAutospacing="0" w:after="0" w:afterAutospacing="0"/>
              <w:ind w:left="0" w:right="0"/>
              <w:rPr>
                <w:rFonts w:hint="default" w:eastAsia="黑体"/>
                <w:bCs/>
                <w:spacing w:val="-4"/>
                <w:sz w:val="28"/>
                <w:szCs w:val="28"/>
              </w:rPr>
            </w:pPr>
            <w:r>
              <w:rPr>
                <w:rFonts w:hint="eastAsia" w:eastAsia="黑体"/>
                <w:bCs/>
                <w:sz w:val="28"/>
                <w:szCs w:val="28"/>
              </w:rPr>
              <w:t>六、申报单位</w:t>
            </w:r>
          </w:p>
        </w:tc>
      </w:tr>
      <w:tr w14:paraId="75AF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781198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第一</w:t>
            </w:r>
          </w:p>
          <w:p w14:paraId="27E5316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申报</w:t>
            </w:r>
          </w:p>
          <w:p w14:paraId="06F2CB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w:t>
            </w: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4BDC332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单位名称</w:t>
            </w:r>
          </w:p>
        </w:tc>
        <w:tc>
          <w:tcPr>
            <w:tcW w:w="3640" w:type="pct"/>
            <w:gridSpan w:val="9"/>
            <w:tcBorders>
              <w:top w:val="single" w:color="auto" w:sz="4" w:space="0"/>
              <w:left w:val="single" w:color="auto" w:sz="4" w:space="0"/>
              <w:bottom w:val="single" w:color="auto" w:sz="4" w:space="0"/>
              <w:right w:val="single" w:color="auto" w:sz="4" w:space="0"/>
            </w:tcBorders>
            <w:vAlign w:val="center"/>
          </w:tcPr>
          <w:p w14:paraId="0637FF99">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rPr>
              <w:t xml:space="preserve">【申报单位名称】</w:t>
            </w:r>
          </w:p>
        </w:tc>
      </w:tr>
      <w:tr w14:paraId="0B66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9EBC40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48B24FE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所 在 地</w:t>
            </w:r>
          </w:p>
        </w:tc>
        <w:tc>
          <w:tcPr>
            <w:tcW w:w="3640" w:type="pct"/>
            <w:gridSpan w:val="9"/>
            <w:tcBorders>
              <w:top w:val="single" w:color="auto" w:sz="4" w:space="0"/>
              <w:left w:val="single" w:color="auto" w:sz="4" w:space="0"/>
              <w:bottom w:val="single" w:color="auto" w:sz="4" w:space="0"/>
              <w:right w:val="single" w:color="auto" w:sz="4" w:space="0"/>
            </w:tcBorders>
            <w:vAlign w:val="center"/>
          </w:tcPr>
          <w:p w14:paraId="2BA60111">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 xml:space="preserve">【浙江省·地市】</w:t>
            </w:r>
          </w:p>
        </w:tc>
      </w:tr>
      <w:tr w14:paraId="290C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EAAADE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665B12B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详细地址</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240672AF">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4"/>
                <w:szCs w:val="24"/>
                <w:lang w:val="en-US" w:eastAsia="zh-CN"/>
              </w:rPr>
              <w:t xml:space="preserve">【详细地址】</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51E59B1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邮政编码</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17E7498F">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322100</w:t>
            </w:r>
          </w:p>
        </w:tc>
      </w:tr>
      <w:tr w14:paraId="5C35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DBE906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2C0EC9A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 系 人</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40FEC80D">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 xml:space="preserve">【联系人】</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175BF2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联系电话</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47987810">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sz w:val="24"/>
              </w:rPr>
              <w:t>18758216799</w:t>
            </w:r>
          </w:p>
        </w:tc>
      </w:tr>
      <w:tr w14:paraId="49B5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A492A8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7C6D511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传    真</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7F0AD0B7">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 xml:space="preserve">【传真】</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0F470B9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电子邮箱</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83A4F48">
            <w:pPr>
              <w:keepNext w:val="0"/>
              <w:keepLines w:val="0"/>
              <w:suppressLineNumbers w:val="0"/>
              <w:snapToGrid w:val="0"/>
              <w:spacing w:before="0" w:beforeAutospacing="0" w:after="0" w:afterAutospacing="0"/>
              <w:ind w:left="0" w:right="0"/>
              <w:jc w:val="center"/>
              <w:rPr>
                <w:rFonts w:hint="default"/>
                <w:sz w:val="24"/>
              </w:rPr>
            </w:pPr>
          </w:p>
        </w:tc>
      </w:tr>
      <w:tr w14:paraId="0F42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6E5972A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协作</w:t>
            </w:r>
          </w:p>
          <w:p w14:paraId="7D47820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w:t>
            </w:r>
          </w:p>
        </w:tc>
        <w:tc>
          <w:tcPr>
            <w:tcW w:w="2580" w:type="pct"/>
            <w:gridSpan w:val="8"/>
            <w:tcBorders>
              <w:top w:val="single" w:color="auto" w:sz="4" w:space="0"/>
              <w:left w:val="single" w:color="auto" w:sz="4" w:space="0"/>
              <w:bottom w:val="single" w:color="auto" w:sz="4" w:space="0"/>
              <w:right w:val="single" w:color="auto" w:sz="4" w:space="0"/>
            </w:tcBorders>
            <w:vAlign w:val="center"/>
          </w:tcPr>
          <w:p w14:paraId="028B037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单位名称</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63E65F1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负责人</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7965B5E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职责</w:t>
            </w:r>
          </w:p>
        </w:tc>
      </w:tr>
      <w:tr w14:paraId="3290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5B29DF8">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1E868EA3">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1</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3A7ADCF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_GB2312" w:hAnsi="宋体" w:eastAsia="仿宋_GB2312"/>
                <w:bCs/>
                <w:sz w:val="32"/>
                <w:szCs w:val="32"/>
                <w:highlight w:val="yellow"/>
              </w:rPr>
              <w:t xml:space="preserve">【协作单位一】</w:t>
            </w:r>
          </w:p>
        </w:tc>
        <w:tc>
          <w:tcPr>
            <w:tcW w:w="764" w:type="pct"/>
            <w:gridSpan w:val="2"/>
            <w:tcBorders>
              <w:top w:val="nil"/>
              <w:left w:val="single" w:color="auto" w:sz="4" w:space="0"/>
              <w:bottom w:val="single" w:color="auto" w:sz="4" w:space="0"/>
              <w:right w:val="single" w:color="auto" w:sz="4" w:space="0"/>
            </w:tcBorders>
            <w:vAlign w:val="center"/>
          </w:tcPr>
          <w:p w14:paraId="36099A9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7B93CF4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268E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985D857">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603671F2">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2</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2072B44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 w:hAnsi="仿宋" w:eastAsia="仿宋" w:cs="仿宋"/>
                <w:bCs/>
                <w:sz w:val="32"/>
                <w:szCs w:val="32"/>
                <w:highlight w:val="yellow"/>
                <w:lang w:val="en-US" w:eastAsia="zh-CN"/>
              </w:rPr>
              <w:t xml:space="preserve">【协作单位二】</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1E3DEF3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5453B9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1B9F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13220BB5">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7AA8DBFC">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3</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67CCB2D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_GB2312" w:hAnsi="宋体" w:eastAsia="仿宋_GB2312"/>
                <w:bCs/>
                <w:sz w:val="32"/>
                <w:szCs w:val="32"/>
                <w:highlight w:val="yellow"/>
                <w:lang w:val="en-US" w:eastAsia="zh-CN"/>
              </w:rPr>
              <w:t xml:space="preserve"/>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3649AC4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98E5AC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723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1523AE0">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0BB43D9A">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4</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57945F8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317A89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6159065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6E4E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52C1EAFE">
            <w:pPr>
              <w:keepNext w:val="0"/>
              <w:keepLines w:val="0"/>
              <w:suppressLineNumbers w:val="0"/>
              <w:snapToGrid w:val="0"/>
              <w:spacing w:before="0" w:beforeAutospacing="0" w:after="0" w:afterAutospacing="0"/>
              <w:ind w:left="0" w:right="0"/>
              <w:rPr>
                <w:rFonts w:hint="default" w:eastAsia="黑体"/>
                <w:sz w:val="30"/>
              </w:rPr>
            </w:pPr>
            <w:r>
              <w:rPr>
                <w:rFonts w:hint="eastAsia" w:eastAsia="黑体"/>
                <w:sz w:val="30"/>
              </w:rPr>
              <w:t>七、项目负责人及项目组成员</w:t>
            </w:r>
          </w:p>
        </w:tc>
      </w:tr>
      <w:tr w14:paraId="79B0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DC07E1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项</w:t>
            </w:r>
          </w:p>
          <w:p w14:paraId="7716016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目</w:t>
            </w:r>
          </w:p>
          <w:p w14:paraId="0B1E91B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负</w:t>
            </w:r>
          </w:p>
          <w:p w14:paraId="286E442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责</w:t>
            </w:r>
          </w:p>
          <w:p w14:paraId="66A94E2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人</w:t>
            </w: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242AC1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姓  名</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7041420">
            <w:pPr>
              <w:keepNext w:val="0"/>
              <w:keepLines w:val="0"/>
              <w:suppressLineNumbers w:val="0"/>
              <w:snapToGrid w:val="0"/>
              <w:spacing w:before="0" w:beforeAutospacing="0" w:after="0" w:afterAutospacing="0"/>
              <w:ind w:left="0" w:right="0"/>
              <w:jc w:val="center"/>
              <w:rPr>
                <w:rFonts w:hint="default" w:eastAsiaTheme="minorEastAsia"/>
                <w:sz w:val="24"/>
                <w:lang w:val="en-US" w:eastAsia="zh-CN"/>
              </w:rPr>
            </w:pPr>
            <w:r>
              <w:rPr>
                <w:rFonts w:hint="eastAsia"/>
                <w:sz w:val="24"/>
                <w:lang w:val="en-US" w:eastAsia="zh-CN"/>
              </w:rPr>
              <w:t xml:space="preserve">【待填】</w:t>
            </w:r>
          </w:p>
        </w:tc>
      </w:tr>
      <w:tr w14:paraId="2F1E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CCC541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4EC72C3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身份证号码</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728BBF6C">
            <w:pPr>
              <w:keepNext w:val="0"/>
              <w:keepLines w:val="0"/>
              <w:suppressLineNumbers w:val="0"/>
              <w:snapToGrid w:val="0"/>
              <w:spacing w:before="0" w:beforeAutospacing="0" w:after="0" w:afterAutospacing="0"/>
              <w:ind w:left="0" w:right="0"/>
              <w:jc w:val="center"/>
              <w:rPr>
                <w:rFonts w:hint="default"/>
                <w:sz w:val="24"/>
              </w:rPr>
            </w:pPr>
          </w:p>
        </w:tc>
      </w:tr>
      <w:tr w14:paraId="00A0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295264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CABDD4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联系电话</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0E99E71">
            <w:pPr>
              <w:keepNext w:val="0"/>
              <w:keepLines w:val="0"/>
              <w:suppressLineNumbers w:val="0"/>
              <w:snapToGrid w:val="0"/>
              <w:spacing w:before="0" w:beforeAutospacing="0" w:after="0" w:afterAutospacing="0"/>
              <w:ind w:left="0" w:right="0"/>
              <w:jc w:val="center"/>
              <w:rPr>
                <w:rFonts w:hint="default"/>
                <w:sz w:val="24"/>
              </w:rPr>
            </w:pPr>
          </w:p>
        </w:tc>
      </w:tr>
      <w:tr w14:paraId="0574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0A7B46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2CB9C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default" w:ascii="Times New Roman" w:hAnsi="Times New Roman" w:eastAsia="仿宋_GB2312" w:cs="Times New Roman"/>
                <w:bCs/>
                <w:sz w:val="28"/>
                <w:szCs w:val="28"/>
              </w:rPr>
              <w:t>E-mail</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49E421F8">
            <w:pPr>
              <w:keepNext w:val="0"/>
              <w:keepLines w:val="0"/>
              <w:suppressLineNumbers w:val="0"/>
              <w:snapToGrid w:val="0"/>
              <w:spacing w:before="0" w:beforeAutospacing="0" w:after="0" w:afterAutospacing="0"/>
              <w:ind w:left="0" w:right="0"/>
              <w:jc w:val="center"/>
              <w:rPr>
                <w:rFonts w:hint="default"/>
                <w:sz w:val="24"/>
              </w:rPr>
            </w:pPr>
          </w:p>
        </w:tc>
      </w:tr>
      <w:tr w14:paraId="70B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FD5BF4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686DB61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学  历</w:t>
            </w:r>
          </w:p>
        </w:tc>
        <w:tc>
          <w:tcPr>
            <w:tcW w:w="1336" w:type="pct"/>
            <w:gridSpan w:val="4"/>
            <w:tcBorders>
              <w:top w:val="single" w:color="auto" w:sz="4" w:space="0"/>
              <w:left w:val="single" w:color="auto" w:sz="4" w:space="0"/>
              <w:bottom w:val="single" w:color="auto" w:sz="4" w:space="0"/>
              <w:right w:val="single" w:color="auto" w:sz="4" w:space="0"/>
            </w:tcBorders>
            <w:vAlign w:val="center"/>
          </w:tcPr>
          <w:p w14:paraId="2B464564">
            <w:pPr>
              <w:keepNext w:val="0"/>
              <w:keepLines w:val="0"/>
              <w:suppressLineNumbers w:val="0"/>
              <w:snapToGrid w:val="0"/>
              <w:spacing w:before="0" w:beforeAutospacing="0" w:after="0" w:afterAutospacing="0"/>
              <w:ind w:left="0" w:right="0"/>
              <w:jc w:val="center"/>
              <w:rPr>
                <w:rFonts w:hint="default"/>
                <w:sz w:val="24"/>
              </w:rPr>
            </w:pPr>
          </w:p>
        </w:tc>
        <w:tc>
          <w:tcPr>
            <w:tcW w:w="662" w:type="pct"/>
            <w:tcBorders>
              <w:top w:val="single" w:color="auto" w:sz="4" w:space="0"/>
              <w:left w:val="single" w:color="auto" w:sz="4" w:space="0"/>
              <w:bottom w:val="single" w:color="auto" w:sz="4" w:space="0"/>
              <w:right w:val="single" w:color="auto" w:sz="4" w:space="0"/>
            </w:tcBorders>
            <w:vAlign w:val="center"/>
          </w:tcPr>
          <w:p w14:paraId="55653F3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学位</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23171161">
            <w:pPr>
              <w:keepNext w:val="0"/>
              <w:keepLines w:val="0"/>
              <w:suppressLineNumbers w:val="0"/>
              <w:snapToGrid w:val="0"/>
              <w:spacing w:before="0" w:beforeAutospacing="0" w:after="0" w:afterAutospacing="0"/>
              <w:ind w:left="0" w:right="0"/>
              <w:jc w:val="center"/>
              <w:rPr>
                <w:rFonts w:hint="default"/>
                <w:sz w:val="24"/>
              </w:rPr>
            </w:pPr>
          </w:p>
        </w:tc>
      </w:tr>
      <w:tr w14:paraId="34A6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58A592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41986B3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专业技术职称</w:t>
            </w:r>
          </w:p>
        </w:tc>
        <w:tc>
          <w:tcPr>
            <w:tcW w:w="1336" w:type="pct"/>
            <w:gridSpan w:val="4"/>
            <w:tcBorders>
              <w:top w:val="single" w:color="auto" w:sz="4" w:space="0"/>
              <w:left w:val="single" w:color="auto" w:sz="4" w:space="0"/>
              <w:bottom w:val="single" w:color="auto" w:sz="4" w:space="0"/>
              <w:right w:val="single" w:color="auto" w:sz="4" w:space="0"/>
            </w:tcBorders>
            <w:vAlign w:val="center"/>
          </w:tcPr>
          <w:p w14:paraId="6BB7D7E7">
            <w:pPr>
              <w:keepNext w:val="0"/>
              <w:keepLines w:val="0"/>
              <w:suppressLineNumbers w:val="0"/>
              <w:snapToGrid w:val="0"/>
              <w:spacing w:before="0" w:beforeAutospacing="0" w:after="0" w:afterAutospacing="0"/>
              <w:ind w:left="0" w:right="0"/>
              <w:jc w:val="center"/>
              <w:rPr>
                <w:rFonts w:hint="default" w:eastAsia="宋体"/>
                <w:sz w:val="24"/>
              </w:rPr>
            </w:pPr>
          </w:p>
        </w:tc>
        <w:tc>
          <w:tcPr>
            <w:tcW w:w="662" w:type="pct"/>
            <w:tcBorders>
              <w:top w:val="single" w:color="auto" w:sz="4" w:space="0"/>
              <w:left w:val="single" w:color="auto" w:sz="4" w:space="0"/>
              <w:bottom w:val="single" w:color="auto" w:sz="4" w:space="0"/>
              <w:right w:val="single" w:color="auto" w:sz="4" w:space="0"/>
            </w:tcBorders>
            <w:vAlign w:val="center"/>
          </w:tcPr>
          <w:p w14:paraId="4E4844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DBC9D7A">
            <w:pPr>
              <w:keepNext w:val="0"/>
              <w:keepLines w:val="0"/>
              <w:suppressLineNumbers w:val="0"/>
              <w:snapToGrid w:val="0"/>
              <w:spacing w:before="0" w:beforeAutospacing="0" w:after="0" w:afterAutospacing="0"/>
              <w:ind w:left="0" w:right="0"/>
              <w:jc w:val="center"/>
              <w:rPr>
                <w:rFonts w:hint="default"/>
                <w:sz w:val="24"/>
              </w:rPr>
            </w:pPr>
          </w:p>
        </w:tc>
      </w:tr>
      <w:tr w14:paraId="0A1A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E74255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26F0B74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在本项目中的分工</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3679573">
            <w:pPr>
              <w:keepNext w:val="0"/>
              <w:keepLines w:val="0"/>
              <w:suppressLineNumbers w:val="0"/>
              <w:snapToGrid w:val="0"/>
              <w:spacing w:before="0" w:beforeAutospacing="0" w:after="0" w:afterAutospacing="0"/>
              <w:ind w:left="0" w:right="0"/>
              <w:jc w:val="center"/>
              <w:rPr>
                <w:rFonts w:hint="default"/>
                <w:sz w:val="24"/>
              </w:rPr>
            </w:pPr>
          </w:p>
        </w:tc>
      </w:tr>
      <w:tr w14:paraId="32D9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8BF2AE5">
            <w:pPr>
              <w:keepNext w:val="0"/>
              <w:keepLines w:val="0"/>
              <w:widowControl/>
              <w:suppressLineNumbers w:val="0"/>
              <w:snapToGrid w:val="0"/>
              <w:spacing w:before="0" w:beforeAutospacing="0" w:after="0" w:afterAutospacing="0"/>
              <w:ind w:left="0" w:right="0"/>
              <w:jc w:val="left"/>
              <w:rPr>
                <w:rFonts w:hint="default"/>
                <w:sz w:val="24"/>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16B731E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工作单位</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6C5BCD9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0FEF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D814A9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项</w:t>
            </w:r>
          </w:p>
          <w:p w14:paraId="192F37D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目</w:t>
            </w:r>
          </w:p>
          <w:p w14:paraId="7BD75C4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组</w:t>
            </w:r>
          </w:p>
          <w:p w14:paraId="3D50645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成</w:t>
            </w:r>
          </w:p>
          <w:p w14:paraId="7B52BDEF">
            <w:pPr>
              <w:keepNext w:val="0"/>
              <w:keepLines w:val="0"/>
              <w:suppressLineNumbers w:val="0"/>
              <w:snapToGrid w:val="0"/>
              <w:spacing w:before="0" w:beforeAutospacing="0" w:after="0" w:afterAutospacing="0"/>
              <w:ind w:left="0" w:right="0"/>
              <w:jc w:val="center"/>
              <w:rPr>
                <w:rFonts w:hint="default"/>
                <w:sz w:val="24"/>
              </w:rPr>
            </w:pPr>
            <w:r>
              <w:rPr>
                <w:rFonts w:hint="eastAsia" w:ascii="仿宋_GB2312" w:hAnsi="宋体" w:eastAsia="仿宋_GB2312"/>
                <w:bCs/>
                <w:sz w:val="28"/>
                <w:szCs w:val="28"/>
              </w:rPr>
              <w:t>员</w:t>
            </w: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E0AEBB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姓名</w:t>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283EECE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出生</w:t>
            </w:r>
          </w:p>
          <w:p w14:paraId="3CA0257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年月</w:t>
            </w:r>
          </w:p>
        </w:tc>
        <w:tc>
          <w:tcPr>
            <w:tcW w:w="577" w:type="pct"/>
            <w:tcBorders>
              <w:top w:val="single" w:color="auto" w:sz="4" w:space="0"/>
              <w:left w:val="single" w:color="auto" w:sz="4" w:space="0"/>
              <w:bottom w:val="single" w:color="auto" w:sz="4" w:space="0"/>
              <w:right w:val="single" w:color="auto" w:sz="4" w:space="0"/>
            </w:tcBorders>
            <w:vAlign w:val="center"/>
          </w:tcPr>
          <w:p w14:paraId="2CADD19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专业技术职称</w:t>
            </w:r>
          </w:p>
        </w:tc>
        <w:tc>
          <w:tcPr>
            <w:tcW w:w="494" w:type="pct"/>
            <w:tcBorders>
              <w:top w:val="single" w:color="auto" w:sz="4" w:space="0"/>
              <w:left w:val="single" w:color="auto" w:sz="4" w:space="0"/>
              <w:bottom w:val="single" w:color="auto" w:sz="4" w:space="0"/>
              <w:right w:val="single" w:color="auto" w:sz="4" w:space="0"/>
            </w:tcBorders>
            <w:vAlign w:val="center"/>
          </w:tcPr>
          <w:p w14:paraId="0A48B30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w:t>
            </w: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FA1749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工作单位</w:t>
            </w:r>
          </w:p>
        </w:tc>
        <w:tc>
          <w:tcPr>
            <w:tcW w:w="761" w:type="pct"/>
            <w:tcBorders>
              <w:top w:val="single" w:color="auto" w:sz="4" w:space="0"/>
              <w:left w:val="single" w:color="auto" w:sz="4" w:space="0"/>
              <w:bottom w:val="single" w:color="auto" w:sz="4" w:space="0"/>
              <w:right w:val="single" w:color="auto" w:sz="4" w:space="0"/>
            </w:tcBorders>
            <w:vAlign w:val="center"/>
          </w:tcPr>
          <w:p w14:paraId="47B685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在本项目中分工</w:t>
            </w:r>
          </w:p>
        </w:tc>
      </w:tr>
      <w:tr w14:paraId="4178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3E98DF6">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0DC001F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lang w:val="en-US" w:eastAsia="zh-CN"/>
              </w:rPr>
            </w:pPr>
            <w:r>
              <w:rPr>
                <w:rFonts w:hint="eastAsia" w:ascii="仿宋_GB2312" w:hAnsi="宋体" w:eastAsia="仿宋_GB2312"/>
                <w:bCs/>
                <w:sz w:val="28"/>
                <w:szCs w:val="28"/>
                <w:lang w:val="en-US" w:eastAsia="zh-CN"/>
              </w:rPr>
              <w:t xml:space="preserve"/>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7273E56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C58E3B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2034CB0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64B30FB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11BECBB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47C2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F91FD1F">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AC6E9D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lang w:val="en-US" w:eastAsia="zh-CN"/>
              </w:rPr>
            </w:pPr>
            <w:r>
              <w:rPr>
                <w:rFonts w:hint="eastAsia" w:ascii="仿宋_GB2312" w:hAnsi="宋体" w:eastAsia="仿宋_GB2312"/>
                <w:bCs/>
                <w:sz w:val="28"/>
                <w:szCs w:val="28"/>
                <w:lang w:val="en-US" w:eastAsia="zh-CN"/>
              </w:rPr>
              <w:t xml:space="preserve"/>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49EFF82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3C5741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B390AB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CCAA2D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917924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038E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574BA91">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1D72B9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754566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381FBD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760EEA1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175346B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41E5BC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D3C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9D2CA95">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00C8F94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05F2C7F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FE0826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015770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6CD22D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1006C7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57F0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1B7CEC74">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1380532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D27949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B18181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AC445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1679A53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54B60B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59EE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E966A9A">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376806C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5DF3933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1165115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163C416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5EDC64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E42AB0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C5C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301BD18">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686CAA2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3D1004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5C0590B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1FC5C3E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37891BE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6BD17E2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188F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32DFD0A8">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44E073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7B7E8EE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7CDD0E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4416E1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0281C96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1C582C7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734C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3688CBB9">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3569C6D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0FD2F86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14D09BA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E9E23C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FDAF5D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6B9615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6ABF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608A8E01">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691658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A830B5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6C4260A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7F4B30B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37BA7C5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03D0C73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4931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5565C29E">
            <w:pPr>
              <w:keepNext w:val="0"/>
              <w:keepLines w:val="0"/>
              <w:widowControl/>
              <w:suppressLineNumbers w:val="0"/>
              <w:snapToGrid w:val="0"/>
              <w:spacing w:before="0" w:beforeAutospacing="0" w:after="0" w:afterAutospacing="0"/>
              <w:ind w:left="0" w:right="0"/>
              <w:jc w:val="left"/>
              <w:rPr>
                <w:rFonts w:hint="default" w:eastAsia="宋体"/>
                <w:sz w:val="24"/>
              </w:rPr>
            </w:pPr>
            <w:r>
              <w:rPr>
                <w:rFonts w:hint="eastAsia" w:ascii="黑体" w:hAnsi="黑体" w:eastAsia="黑体" w:cs="黑体"/>
                <w:sz w:val="30"/>
              </w:rPr>
              <w:t>八、计划进度目标（</w:t>
            </w:r>
            <w:r>
              <w:rPr>
                <w:rFonts w:hint="default" w:ascii="Times New Roman" w:hAnsi="Times New Roman" w:eastAsia="黑体" w:cs="Times New Roman"/>
                <w:sz w:val="30"/>
              </w:rPr>
              <w:t>2</w:t>
            </w:r>
            <w:r>
              <w:rPr>
                <w:rFonts w:hint="eastAsia" w:ascii="黑体" w:hAnsi="黑体" w:eastAsia="黑体" w:cs="黑体"/>
                <w:sz w:val="30"/>
              </w:rPr>
              <w:t>年以内）</w:t>
            </w:r>
          </w:p>
        </w:tc>
      </w:tr>
      <w:tr w14:paraId="108D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761DBC8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起始年月</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0F623B0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进度目标要求</w:t>
            </w:r>
          </w:p>
        </w:tc>
      </w:tr>
      <w:tr w14:paraId="3E89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706"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30B22736">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6</w:t>
            </w:r>
            <w:r>
              <w:rPr>
                <w:rFonts w:hint="eastAsia" w:ascii="仿宋" w:hAnsi="仿宋" w:eastAsia="仿宋" w:cs="仿宋"/>
                <w:b w:val="0"/>
                <w:bCs w:val="0"/>
                <w:sz w:val="24"/>
                <w:lang w:val="en-US" w:eastAsia="zh-CN"/>
              </w:rPr>
              <w:t>.10-202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.2</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30E48D42">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完成需求梳理与公众调研（高频问题清单），完成装配式内装语料扩容（政策文件、地方图集与试点案例、论文题录），完善 .docx/.pdf 解析判据与脏文档处理；系统核心检索、拒答、术语扩展链路进一步工程化。阶段成果：知识库 V1.0、需求调研报告。</w:t>
            </w:r>
          </w:p>
        </w:tc>
      </w:tr>
      <w:tr w14:paraId="4B1F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665"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457D4A91">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.3-202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.9</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144C776F">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完成混合检索与重排的调优与消融验证，回答侧通俗化生成（公众/专业双档位）研发；扩充评测集并量化各通道贡献；部署试点应用（Web 界面＋管理端），收集真实问答反馈。阶段成果：系统 V2.0、试点运行报告。</w:t>
            </w:r>
          </w:p>
        </w:tc>
      </w:tr>
      <w:tr w14:paraId="668B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696"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4DED721D">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.10-202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.6</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32E609F3">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完善文档级结构化元数据与证据闸门适用范围（时效状态、地域层级）；扩展评测至独立复核题库；论文投稿、软著申请，形成技术导则初稿。阶段成果：论文录用、软著受理、技术导则征求意见稿。</w:t>
            </w:r>
          </w:p>
        </w:tc>
      </w:tr>
      <w:tr w14:paraId="7CAA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881"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59AF9429">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.7-202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w:t>
            </w:r>
            <w:r>
              <w:rPr>
                <w:rFonts w:hint="eastAsia" w:ascii="仿宋" w:hAnsi="仿宋" w:cs="仿宋"/>
                <w:b w:val="0"/>
                <w:bCs w:val="0"/>
                <w:sz w:val="24"/>
                <w:highlight w:val="none"/>
                <w:shd w:val="clear"/>
                <w:lang w:val="en-US" w:eastAsia="zh-CN"/>
              </w:rPr>
              <w:t>9</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7DAABB65">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汇总整理研究成果，完成成果总结、验收材料与试点成效评估，组织成果鉴定与推广。阶段成果：验收报告、成果鉴定材料。</w:t>
            </w:r>
          </w:p>
        </w:tc>
      </w:tr>
      <w:tr w14:paraId="26B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F0B54B1">
            <w:pPr>
              <w:keepNext w:val="0"/>
              <w:keepLines w:val="0"/>
              <w:suppressLineNumbers w:val="0"/>
              <w:snapToGrid w:val="0"/>
              <w:spacing w:before="0" w:beforeAutospacing="0" w:after="0" w:afterAutospacing="0"/>
              <w:ind w:left="0" w:right="0"/>
              <w:rPr>
                <w:rFonts w:hint="default"/>
              </w:rPr>
            </w:pPr>
            <w:r>
              <w:rPr>
                <w:rFonts w:hint="eastAsia" w:eastAsia="黑体"/>
                <w:sz w:val="30"/>
              </w:rPr>
              <w:t>九、经费及来源</w:t>
            </w:r>
          </w:p>
        </w:tc>
      </w:tr>
      <w:tr w14:paraId="1E88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79945102">
            <w:pPr>
              <w:keepNext w:val="0"/>
              <w:keepLines w:val="0"/>
              <w:suppressLineNumbers w:val="0"/>
              <w:snapToGrid w:val="0"/>
              <w:spacing w:before="0" w:beforeAutospacing="0" w:after="0" w:afterAutospacing="0"/>
              <w:ind w:left="0" w:right="0"/>
              <w:jc w:val="both"/>
              <w:rPr>
                <w:rFonts w:hint="eastAsia" w:ascii="仿宋_GB2312" w:hAnsi="宋体" w:eastAsia="仿宋_GB2312"/>
                <w:bCs/>
                <w:sz w:val="28"/>
                <w:szCs w:val="28"/>
                <w:lang w:val="en-US" w:eastAsia="zh-CN"/>
              </w:rPr>
            </w:pPr>
            <w:r>
              <w:rPr>
                <w:rFonts w:hint="eastAsia" w:ascii="仿宋_GB2312" w:hAnsi="宋体" w:eastAsia="仿宋_GB2312"/>
                <w:bCs/>
                <w:sz w:val="28"/>
                <w:szCs w:val="28"/>
              </w:rPr>
              <w:t>科研经费</w:t>
            </w:r>
            <w:r>
              <w:rPr>
                <w:rFonts w:hint="eastAsia" w:ascii="仿宋_GB2312" w:hAnsi="宋体" w:eastAsia="仿宋_GB2312"/>
                <w:bCs/>
                <w:sz w:val="28"/>
                <w:szCs w:val="28"/>
                <w:lang w:val="en-US" w:eastAsia="zh-CN"/>
              </w:rPr>
              <w:t>70万，自筹。</w:t>
            </w:r>
          </w:p>
          <w:p w14:paraId="6CA3F739">
            <w:pPr>
              <w:keepNext w:val="0"/>
              <w:keepLines w:val="0"/>
              <w:suppressLineNumbers w:val="0"/>
              <w:snapToGrid w:val="0"/>
              <w:spacing w:before="0" w:beforeAutospacing="0" w:after="0" w:afterAutospacing="0"/>
              <w:ind w:left="0" w:right="0"/>
              <w:rPr>
                <w:rFonts w:hint="default" w:eastAsia="黑体"/>
                <w:sz w:val="30"/>
              </w:rPr>
            </w:pPr>
          </w:p>
          <w:p w14:paraId="28EB9EE9">
            <w:pPr>
              <w:keepNext w:val="0"/>
              <w:keepLines w:val="0"/>
              <w:suppressLineNumbers w:val="0"/>
              <w:snapToGrid w:val="0"/>
              <w:spacing w:before="0" w:beforeAutospacing="0" w:after="0" w:afterAutospacing="0"/>
              <w:ind w:left="0" w:right="0"/>
              <w:rPr>
                <w:rFonts w:hint="default" w:eastAsia="黑体"/>
                <w:sz w:val="30"/>
              </w:rPr>
            </w:pPr>
          </w:p>
          <w:p w14:paraId="2D668117">
            <w:pPr>
              <w:keepNext w:val="0"/>
              <w:keepLines w:val="0"/>
              <w:suppressLineNumbers w:val="0"/>
              <w:snapToGrid w:val="0"/>
              <w:spacing w:before="0" w:beforeAutospacing="0" w:after="0" w:afterAutospacing="0"/>
              <w:ind w:left="0" w:right="0"/>
              <w:rPr>
                <w:rFonts w:hint="default" w:eastAsia="黑体"/>
                <w:sz w:val="30"/>
              </w:rPr>
            </w:pPr>
          </w:p>
          <w:p w14:paraId="71EACD4B">
            <w:pPr>
              <w:keepNext w:val="0"/>
              <w:keepLines w:val="0"/>
              <w:suppressLineNumbers w:val="0"/>
              <w:snapToGrid w:val="0"/>
              <w:spacing w:before="0" w:beforeAutospacing="0" w:after="0" w:afterAutospacing="0"/>
              <w:ind w:left="0" w:right="0"/>
              <w:rPr>
                <w:rFonts w:hint="default" w:eastAsia="黑体"/>
                <w:sz w:val="30"/>
              </w:rPr>
            </w:pPr>
          </w:p>
          <w:p w14:paraId="26A7F857">
            <w:pPr>
              <w:keepNext w:val="0"/>
              <w:keepLines w:val="0"/>
              <w:suppressLineNumbers w:val="0"/>
              <w:snapToGrid w:val="0"/>
              <w:spacing w:before="0" w:beforeAutospacing="0" w:after="0" w:afterAutospacing="0"/>
              <w:ind w:left="0" w:right="0"/>
              <w:rPr>
                <w:rFonts w:hint="default" w:eastAsia="黑体"/>
                <w:sz w:val="30"/>
              </w:rPr>
            </w:pPr>
          </w:p>
          <w:p w14:paraId="4D8EA3C0">
            <w:pPr>
              <w:keepNext w:val="0"/>
              <w:keepLines w:val="0"/>
              <w:suppressLineNumbers w:val="0"/>
              <w:snapToGrid w:val="0"/>
              <w:spacing w:before="0" w:beforeAutospacing="0" w:after="0" w:afterAutospacing="0"/>
              <w:ind w:left="0" w:right="0"/>
              <w:rPr>
                <w:rFonts w:hint="eastAsia" w:eastAsia="黑体"/>
                <w:sz w:val="30"/>
              </w:rPr>
            </w:pPr>
          </w:p>
          <w:p w14:paraId="35B9C87B">
            <w:pPr>
              <w:keepNext w:val="0"/>
              <w:keepLines w:val="0"/>
              <w:suppressLineNumbers w:val="0"/>
              <w:snapToGrid w:val="0"/>
              <w:spacing w:before="0" w:beforeAutospacing="0" w:after="0" w:afterAutospacing="0"/>
              <w:ind w:left="0" w:right="0"/>
              <w:rPr>
                <w:rFonts w:hint="eastAsia" w:eastAsia="黑体"/>
                <w:sz w:val="30"/>
              </w:rPr>
            </w:pPr>
          </w:p>
          <w:p w14:paraId="528AAA90">
            <w:pPr>
              <w:keepNext w:val="0"/>
              <w:keepLines w:val="0"/>
              <w:suppressLineNumbers w:val="0"/>
              <w:snapToGrid w:val="0"/>
              <w:spacing w:before="0" w:beforeAutospacing="0" w:after="0" w:afterAutospacing="0"/>
              <w:ind w:left="0" w:right="0"/>
              <w:rPr>
                <w:rFonts w:hint="default" w:eastAsia="黑体"/>
                <w:sz w:val="30"/>
              </w:rPr>
            </w:pPr>
          </w:p>
        </w:tc>
      </w:tr>
      <w:tr w14:paraId="1A1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510D2055">
            <w:pPr>
              <w:keepNext w:val="0"/>
              <w:keepLines w:val="0"/>
              <w:suppressLineNumbers w:val="0"/>
              <w:snapToGrid w:val="0"/>
              <w:spacing w:before="0" w:beforeAutospacing="0" w:after="0" w:afterAutospacing="0"/>
              <w:ind w:left="0" w:right="0"/>
              <w:rPr>
                <w:rFonts w:hint="default"/>
                <w:sz w:val="24"/>
              </w:rPr>
            </w:pPr>
            <w:r>
              <w:rPr>
                <w:rFonts w:hint="eastAsia" w:eastAsia="黑体"/>
                <w:sz w:val="30"/>
              </w:rPr>
              <w:t>十、推荐单位意见</w:t>
            </w:r>
          </w:p>
        </w:tc>
      </w:tr>
      <w:tr w14:paraId="3251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0D05E60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4543D89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12D7E58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07F06EC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0D268F0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3A22A95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1AFC782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r>
              <w:rPr>
                <w:rFonts w:hint="eastAsia" w:ascii="仿宋_GB2312" w:hAnsi="宋体" w:eastAsia="仿宋_GB2312"/>
                <w:bCs/>
                <w:sz w:val="32"/>
                <w:szCs w:val="32"/>
              </w:rPr>
              <w:t xml:space="preserve">                        （盖章）</w:t>
            </w:r>
          </w:p>
          <w:p w14:paraId="64ED062C">
            <w:pPr>
              <w:keepNext w:val="0"/>
              <w:keepLines w:val="0"/>
              <w:suppressLineNumbers w:val="0"/>
              <w:snapToGrid w:val="0"/>
              <w:spacing w:before="0" w:beforeAutospacing="0" w:after="0" w:afterAutospacing="0"/>
              <w:ind w:left="0" w:right="0"/>
              <w:rPr>
                <w:rFonts w:hint="default" w:eastAsia="黑体"/>
                <w:sz w:val="30"/>
              </w:rPr>
            </w:pPr>
            <w:r>
              <w:rPr>
                <w:rFonts w:hint="eastAsia" w:ascii="仿宋_GB2312" w:hAnsi="宋体" w:eastAsia="仿宋_GB2312"/>
                <w:bCs/>
                <w:sz w:val="32"/>
                <w:szCs w:val="32"/>
              </w:rPr>
              <w:t xml:space="preserve">                                         年    月    日</w:t>
            </w:r>
          </w:p>
        </w:tc>
      </w:tr>
    </w:tbl>
    <w:p w14:paraId="2339E04A">
      <w:pPr>
        <w:snapToGrid w:val="0"/>
        <w:rPr>
          <w:rFonts w:ascii="仿宋" w:hAnsi="仿宋" w:eastAsia="仿宋" w:cs="仿宋"/>
          <w:sz w:val="24"/>
        </w:rPr>
      </w:pPr>
    </w:p>
    <w:sectPr>
      <w:footerReference r:id="rId7" w:type="first"/>
      <w:footerReference r:id="rId6" w:type="default"/>
      <w:pgSz w:w="12472" w:h="15874"/>
      <w:pgMar w:top="1644" w:right="1644" w:bottom="1644" w:left="1644" w:header="851" w:footer="992" w:gutter="0"/>
      <w:pgNumType w:start="1"/>
      <w:cols w:space="0" w:num="1"/>
      <w:docGrid w:type="line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une丶" w:date="2026-10-23T11:02:08Z" w:initials="">
    <w:p w14:paraId="775EB7DB">
      <w:pPr>
        <w:pStyle w:val="5"/>
        <w:rPr>
          <w:rFonts w:hint="default" w:eastAsiaTheme="minorEastAsia"/>
          <w:lang w:val="en-US" w:eastAsia="zh-CN"/>
        </w:rPr>
      </w:pPr>
      <w:r>
        <w:rPr>
          <w:rFonts w:hint="eastAsia"/>
          <w:lang w:val="en-US" w:eastAsia="zh-CN"/>
        </w:rPr>
        <w:t>由设计单位进行研究方向及内容的确定及编写</w:t>
      </w:r>
    </w:p>
  </w:comment>
  <w:comment w:id="1" w:author="June丶" w:date="2026-10-23T11:03:00Z" w:initials="">
    <w:p w14:paraId="5C3EED6A">
      <w:pPr>
        <w:pStyle w:val="5"/>
        <w:rPr>
          <w:rFonts w:hint="default" w:eastAsiaTheme="minorEastAsia"/>
          <w:lang w:val="en-US" w:eastAsia="zh-CN"/>
        </w:rPr>
      </w:pPr>
      <w:r>
        <w:rPr>
          <w:rFonts w:hint="eastAsia"/>
          <w:lang w:val="en-US" w:eastAsia="zh-CN"/>
        </w:rPr>
        <w:t>如有相关明装机电或SI体系相关研究可进行补充。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5EB7DB" w15:done="0"/>
  <w15:commentEx w15:paraId="5C3EED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A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073B7BD-C434-4FB7-9006-9B81E65E76E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CA79A4E0-D49E-4736-A0FF-2075127EBFE0}"/>
  </w:font>
  <w:font w:name="仿宋">
    <w:panose1 w:val="02010609060101010101"/>
    <w:charset w:val="86"/>
    <w:family w:val="auto"/>
    <w:pitch w:val="default"/>
    <w:sig w:usb0="800002BF" w:usb1="38CF7CFA" w:usb2="00000016" w:usb3="00000000" w:csb0="00040001" w:csb1="00000000"/>
    <w:embedRegular r:id="rId3" w:fontKey="{6FE386FE-74A4-4615-B7FA-7E360846C0CE}"/>
  </w:font>
  <w:font w:name="仿宋_GB2312">
    <w:altName w:val="仿宋"/>
    <w:panose1 w:val="02010609030101010101"/>
    <w:charset w:val="86"/>
    <w:family w:val="modern"/>
    <w:pitch w:val="default"/>
    <w:sig w:usb0="00000000" w:usb1="00000000" w:usb2="00000000" w:usb3="00000000" w:csb0="00040000" w:csb1="00000000"/>
    <w:embedRegular r:id="rId4" w:fontKey="{47BE33A8-5A2E-4908-9B29-C3E4552A24AE}"/>
  </w:font>
  <w:font w:name="方正小标宋简体">
    <w:panose1 w:val="02000000000000000000"/>
    <w:charset w:val="86"/>
    <w:family w:val="auto"/>
    <w:pitch w:val="default"/>
    <w:sig w:usb0="00000001" w:usb1="08000000" w:usb2="00000000" w:usb3="00000000" w:csb0="00040000" w:csb1="00000000"/>
    <w:embedRegular r:id="rId5" w:fontKey="{3E372BB9-25CB-4841-815C-930BFBF5859E}"/>
  </w:font>
  <w:font w:name="楷体_GB2312">
    <w:altName w:val="楷体"/>
    <w:panose1 w:val="02010609030101010101"/>
    <w:charset w:val="86"/>
    <w:family w:val="modern"/>
    <w:pitch w:val="default"/>
    <w:sig w:usb0="00000000" w:usb1="00000000" w:usb2="00000000" w:usb3="00000000" w:csb0="00040000" w:csb1="00000000"/>
    <w:embedRegular r:id="rId6" w:fontKey="{4528D6F6-B685-43B8-9A50-CA0B693BDD59}"/>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embedRegular r:id="rId7" w:fontKey="{2DF5DB5B-AB1E-4007-A66A-3066CA53A3E6}"/>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WPSEMBED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98E6F">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8C6C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A38C6C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9765">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15DC4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215DC4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4DFD">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F3837"/>
    <w:multiLevelType w:val="multilevel"/>
    <w:tmpl w:val="B7EF3837"/>
    <w:lvl w:ilvl="0" w:tentative="0">
      <w:start w:val="3"/>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00000002"/>
    <w:multiLevelType w:val="multilevel"/>
    <w:tmpl w:val="00000002"/>
    <w:lvl w:ilvl="0" w:tentative="0">
      <w:start w:val="1"/>
      <w:numFmt w:val="decimal"/>
      <w:lvlText w:val="%1"/>
      <w:lvlJc w:val="left"/>
      <w:pPr>
        <w:tabs>
          <w:tab w:val="left" w:pos="1051"/>
        </w:tabs>
        <w:ind w:left="1051" w:hanging="851"/>
      </w:pPr>
      <w:rPr>
        <w:rFonts w:hint="eastAsia" w:ascii="宋体" w:hAnsi="宋体" w:eastAsia="宋体"/>
        <w:b/>
        <w:i w:val="0"/>
        <w:spacing w:val="0"/>
        <w:sz w:val="28"/>
      </w:rPr>
    </w:lvl>
    <w:lvl w:ilvl="1" w:tentative="0">
      <w:start w:val="1"/>
      <w:numFmt w:val="decimal"/>
      <w:pStyle w:val="3"/>
      <w:lvlText w:val="%1.%2"/>
      <w:lvlJc w:val="left"/>
      <w:pPr>
        <w:tabs>
          <w:tab w:val="left" w:pos="1051"/>
        </w:tabs>
        <w:ind w:left="1051" w:hanging="851"/>
      </w:pPr>
      <w:rPr>
        <w:rFonts w:hint="eastAsia" w:ascii="宋体" w:hAnsi="宋体" w:eastAsia="宋体"/>
        <w:b/>
        <w:i w:val="0"/>
        <w:sz w:val="28"/>
      </w:rPr>
    </w:lvl>
    <w:lvl w:ilvl="2" w:tentative="0">
      <w:start w:val="1"/>
      <w:numFmt w:val="decimal"/>
      <w:lvlText w:val="%1.%2.%3"/>
      <w:lvlJc w:val="left"/>
      <w:pPr>
        <w:tabs>
          <w:tab w:val="left" w:pos="1051"/>
        </w:tabs>
        <w:ind w:left="1051" w:hanging="851"/>
      </w:pPr>
      <w:rPr>
        <w:rFonts w:hint="eastAsia" w:ascii="宋体" w:hAnsi="宋体" w:eastAsia="宋体"/>
        <w:b w:val="0"/>
        <w:i w:val="0"/>
        <w:sz w:val="24"/>
      </w:rPr>
    </w:lvl>
    <w:lvl w:ilvl="3" w:tentative="0">
      <w:start w:val="1"/>
      <w:numFmt w:val="decimal"/>
      <w:lvlText w:val="%1.%2.%3.%4"/>
      <w:lvlJc w:val="left"/>
      <w:pPr>
        <w:tabs>
          <w:tab w:val="left" w:pos="1051"/>
        </w:tabs>
        <w:ind w:left="1051" w:hanging="851"/>
      </w:pPr>
      <w:rPr>
        <w:rFonts w:hint="default" w:ascii="宋体" w:hAnsi="宋体" w:eastAsia="宋体"/>
        <w:b w:val="0"/>
        <w:i w:val="0"/>
        <w:sz w:val="24"/>
      </w:rPr>
    </w:lvl>
    <w:lvl w:ilvl="4" w:tentative="0">
      <w:start w:val="1"/>
      <w:numFmt w:val="lowerLetter"/>
      <w:lvlText w:val="%5)"/>
      <w:lvlJc w:val="left"/>
      <w:pPr>
        <w:tabs>
          <w:tab w:val="left" w:pos="1051"/>
        </w:tabs>
        <w:ind w:left="1051" w:hanging="567"/>
      </w:pPr>
      <w:rPr>
        <w:rFonts w:hint="default" w:ascii="Arial" w:hAnsi="Arial" w:eastAsia="宋体"/>
        <w:b w:val="0"/>
        <w:i w:val="0"/>
        <w:sz w:val="24"/>
      </w:rPr>
    </w:lvl>
    <w:lvl w:ilvl="5" w:tentative="0">
      <w:start w:val="1"/>
      <w:numFmt w:val="lowerLetter"/>
      <w:lvlText w:val="%6."/>
      <w:lvlJc w:val="left"/>
      <w:pPr>
        <w:tabs>
          <w:tab w:val="left" w:pos="597"/>
        </w:tabs>
        <w:ind w:left="597" w:hanging="465"/>
      </w:pPr>
      <w:rPr>
        <w:rFonts w:hint="default" w:ascii="Arial" w:hAnsi="Arial" w:eastAsia="宋体"/>
        <w:b w:val="0"/>
        <w:i w:val="0"/>
        <w:sz w:val="24"/>
      </w:rPr>
    </w:lvl>
    <w:lvl w:ilvl="6" w:tentative="0">
      <w:start w:val="1"/>
      <w:numFmt w:val="decimal"/>
      <w:lvlText w:val="%1.%2.%3.%4.%5.%6.%7"/>
      <w:lvlJc w:val="left"/>
      <w:pPr>
        <w:tabs>
          <w:tab w:val="left" w:pos="1073"/>
        </w:tabs>
        <w:ind w:left="1073" w:hanging="1440"/>
      </w:pPr>
      <w:rPr>
        <w:rFonts w:hint="default"/>
      </w:rPr>
    </w:lvl>
    <w:lvl w:ilvl="7" w:tentative="0">
      <w:start w:val="1"/>
      <w:numFmt w:val="decimal"/>
      <w:lvlText w:val="%1.%2.%3.%4.%5.%6.%7.%8"/>
      <w:lvlJc w:val="left"/>
      <w:pPr>
        <w:tabs>
          <w:tab w:val="left" w:pos="1073"/>
        </w:tabs>
        <w:ind w:left="1073" w:hanging="1440"/>
      </w:pPr>
      <w:rPr>
        <w:rFonts w:hint="default"/>
      </w:rPr>
    </w:lvl>
    <w:lvl w:ilvl="8" w:tentative="0">
      <w:start w:val="1"/>
      <w:numFmt w:val="decimal"/>
      <w:lvlText w:val="%1.%2.%3.%4.%5.%6.%7.%8.%9"/>
      <w:lvlJc w:val="left"/>
      <w:pPr>
        <w:tabs>
          <w:tab w:val="left" w:pos="1433"/>
        </w:tabs>
        <w:ind w:left="1433" w:hanging="1800"/>
      </w:pPr>
      <w:rPr>
        <w:rFonts w:hint="default"/>
      </w:rPr>
    </w:lvl>
  </w:abstractNum>
  <w:abstractNum w:abstractNumId="2">
    <w:nsid w:val="24D92CCF"/>
    <w:multiLevelType w:val="singleLevel"/>
    <w:tmpl w:val="24D92CCF"/>
    <w:lvl w:ilvl="0" w:tentative="0">
      <w:start w:val="1"/>
      <w:numFmt w:val="bullet"/>
      <w:lvlText w:val=""/>
      <w:lvlJc w:val="left"/>
      <w:pPr>
        <w:ind w:left="420" w:hanging="420"/>
      </w:pPr>
      <w:rPr>
        <w:rFonts w:hint="default" w:ascii="Wingdings" w:hAnsi="Wingdings"/>
      </w:rPr>
    </w:lvl>
  </w:abstractNum>
  <w:abstractNum w:abstractNumId="3">
    <w:nsid w:val="65328D86"/>
    <w:multiLevelType w:val="singleLevel"/>
    <w:tmpl w:val="65328D86"/>
    <w:lvl w:ilvl="0" w:tentative="0">
      <w:start w:val="1"/>
      <w:numFmt w:val="decimal"/>
      <w:suff w:val="nothing"/>
      <w:lvlText w:val="（%1）"/>
      <w:lvlJc w:val="left"/>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une丶">
    <w15:presenceInfo w15:providerId="WPS Office" w15:userId="1153265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4M2FiYTRjOTJhYjYzZGMzODliZWZmOGJjYWEyNWYifQ=="/>
  </w:docVars>
  <w:rsids>
    <w:rsidRoot w:val="0049109F"/>
    <w:rsid w:val="001D6A9D"/>
    <w:rsid w:val="00344737"/>
    <w:rsid w:val="003F13AA"/>
    <w:rsid w:val="004522C9"/>
    <w:rsid w:val="0049109F"/>
    <w:rsid w:val="00497805"/>
    <w:rsid w:val="007E6B03"/>
    <w:rsid w:val="00AC6993"/>
    <w:rsid w:val="00BC6626"/>
    <w:rsid w:val="00D30D01"/>
    <w:rsid w:val="00DA66A5"/>
    <w:rsid w:val="022B421F"/>
    <w:rsid w:val="0339636F"/>
    <w:rsid w:val="04F95805"/>
    <w:rsid w:val="089B3A29"/>
    <w:rsid w:val="0DAF5CC3"/>
    <w:rsid w:val="10F15222"/>
    <w:rsid w:val="130518A2"/>
    <w:rsid w:val="1457324A"/>
    <w:rsid w:val="1663514D"/>
    <w:rsid w:val="17FA2967"/>
    <w:rsid w:val="18855263"/>
    <w:rsid w:val="19E3037C"/>
    <w:rsid w:val="1B2F03A4"/>
    <w:rsid w:val="1C073948"/>
    <w:rsid w:val="216E7365"/>
    <w:rsid w:val="25C42305"/>
    <w:rsid w:val="2C732AA7"/>
    <w:rsid w:val="2FAB59EB"/>
    <w:rsid w:val="2FDFEBE1"/>
    <w:rsid w:val="305E0BE8"/>
    <w:rsid w:val="32996825"/>
    <w:rsid w:val="33BF71EA"/>
    <w:rsid w:val="35804B89"/>
    <w:rsid w:val="3A95564D"/>
    <w:rsid w:val="3C63721E"/>
    <w:rsid w:val="3FBFA241"/>
    <w:rsid w:val="443952E1"/>
    <w:rsid w:val="45367F69"/>
    <w:rsid w:val="4A0D4D0D"/>
    <w:rsid w:val="4B1E583A"/>
    <w:rsid w:val="4B73193A"/>
    <w:rsid w:val="4EA74993"/>
    <w:rsid w:val="53362815"/>
    <w:rsid w:val="5E1C0EE0"/>
    <w:rsid w:val="5EDE1C00"/>
    <w:rsid w:val="5F1971F9"/>
    <w:rsid w:val="65F54F1D"/>
    <w:rsid w:val="686C18B3"/>
    <w:rsid w:val="6A14073F"/>
    <w:rsid w:val="6D5B3341"/>
    <w:rsid w:val="74962F11"/>
    <w:rsid w:val="7DC20C8C"/>
    <w:rsid w:val="7E4C023B"/>
    <w:rsid w:val="7F3D0938"/>
    <w:rsid w:val="B7CF7F38"/>
    <w:rsid w:val="BEBFD784"/>
    <w:rsid w:val="F7DD50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Title"/>
    <w:basedOn w:val="3"/>
    <w:next w:val="1"/>
    <w:qFormat/>
    <w:uiPriority w:val="10"/>
    <w:pPr>
      <w:keepNext/>
      <w:keepLines w:val="0"/>
      <w:widowControl w:val="0"/>
      <w:suppressLineNumbers w:val="0"/>
      <w:tabs>
        <w:tab w:val="left" w:pos="540"/>
      </w:tabs>
      <w:adjustRightInd w:val="0"/>
      <w:snapToGrid w:val="0"/>
      <w:spacing w:line="360" w:lineRule="auto"/>
      <w:ind w:left="284" w:hanging="284"/>
      <w:jc w:val="both"/>
      <w:outlineLvl w:val="1"/>
    </w:pPr>
    <w:rPr>
      <w:rFonts w:hint="default" w:ascii="Calibri" w:hAnsi="Calibri" w:eastAsia="仿宋" w:cs="Times New Roman"/>
      <w:snapToGrid/>
      <w:kern w:val="2"/>
      <w:sz w:val="28"/>
      <w:szCs w:val="28"/>
      <w:lang w:val="en-US" w:eastAsia="zh-CN" w:bidi="ar"/>
    </w:rPr>
  </w:style>
  <w:style w:type="paragraph" w:customStyle="1" w:styleId="3">
    <w:name w:val="1.1"/>
    <w:basedOn w:val="1"/>
    <w:qFormat/>
    <w:uiPriority w:val="0"/>
    <w:pPr>
      <w:keepNext/>
      <w:numPr>
        <w:ilvl w:val="1"/>
        <w:numId w:val="1"/>
      </w:numPr>
      <w:tabs>
        <w:tab w:val="left" w:pos="540"/>
        <w:tab w:val="clear" w:pos="1051"/>
      </w:tabs>
      <w:adjustRightInd w:val="0"/>
      <w:snapToGrid w:val="0"/>
      <w:ind w:left="0" w:firstLine="0"/>
      <w:outlineLvl w:val="1"/>
    </w:pPr>
    <w:rPr>
      <w:b/>
      <w:sz w:val="28"/>
    </w:rPr>
  </w:style>
  <w:style w:type="paragraph" w:styleId="5">
    <w:name w:val="annotation text"/>
    <w:basedOn w:val="1"/>
    <w:qFormat/>
    <w:uiPriority w:val="0"/>
    <w:pPr>
      <w:jc w:val="left"/>
    </w:pPr>
  </w:style>
  <w:style w:type="paragraph" w:styleId="6">
    <w:name w:val="Body Text"/>
    <w:basedOn w:val="1"/>
    <w:qFormat/>
    <w:uiPriority w:val="0"/>
    <w:pPr>
      <w:jc w:val="center"/>
    </w:pPr>
    <w:rPr>
      <w:rFonts w:ascii="仿宋_GB2312" w:hAnsi="宋体" w:eastAsia="仿宋_GB2312"/>
      <w:sz w:val="24"/>
    </w:rPr>
  </w:style>
  <w:style w:type="paragraph" w:styleId="7">
    <w:name w:val="Balloon Text"/>
    <w:basedOn w:val="1"/>
    <w:link w:val="16"/>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qFormat/>
    <w:uiPriority w:val="0"/>
    <w:pPr>
      <w:spacing w:beforeAutospacing="1" w:afterAutospacing="1"/>
      <w:jc w:val="left"/>
    </w:pPr>
    <w:rPr>
      <w:rFonts w:cs="Times New Roman"/>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customStyle="1" w:styleId="16">
    <w:name w:val="批注框文本 字符"/>
    <w:basedOn w:val="13"/>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jpeg"/><Relationship Id="rId15" Type="http://schemas.openxmlformats.org/officeDocument/2006/relationships/image" Target="media/image6.emf"/><Relationship Id="rId14" Type="http://schemas.openxmlformats.org/officeDocument/2006/relationships/oleObject" Target="embeddings/oleObject1.bin"/><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6210</Words>
  <Characters>8126</Characters>
  <Lines>1</Lines>
  <Paragraphs>1</Paragraphs>
  <TotalTime>31</TotalTime>
  <ScaleCrop>false</ScaleCrop>
  <LinksUpToDate>false</LinksUpToDate>
  <CharactersWithSpaces>8588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2025-09-25T08:02:00Z</dcterms:created>
  <dc:creator>Lenovo</dc:creator>
  <cp:lastModifiedBy>黄山</cp:lastModifiedBy>
  <cp:lastPrinted>2025-09-24T00:24:00Z</cp:lastPrinted>
  <dcterms:modified xsi:type="dcterms:W3CDTF">2026-10-23T06:42:43Z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1BC916417A954364B0C26872D4D13AAF_13</vt:lpwstr>
  </property>
  <property fmtid="{D5CDD505-2E9C-101B-9397-08002B2CF9AE}" pid="4" name="KSOTemplateDocerSaveRecord">
    <vt:lpwstr>eyJoZGlkIjoiYWRlMTE2OGVhY2JiYjJlMzZhMmQxNWE1Mjg4MWI5ZjIiLCJ1c2VySWQiOiI4NDAwNjU2NzUifQ==</vt:lpwstr>
  </property>
</Properties>
</file>