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002A7">
      <w:pPr>
        <w:snapToGrid w:val="0"/>
        <w:spacing w:line="660" w:lineRule="exact"/>
        <w:rPr>
          <w:rFonts w:hint="eastAsia" w:ascii="黑体" w:hAnsi="黑体" w:eastAsia="黑体"/>
          <w:bCs/>
          <w:sz w:val="32"/>
          <w:lang w:val="en-US" w:eastAsia="zh-CN"/>
        </w:rPr>
      </w:pPr>
      <w:r>
        <w:rPr>
          <w:rFonts w:hint="eastAsia" w:ascii="黑体" w:hAnsi="黑体" w:eastAsia="黑体" w:cs="黑体"/>
          <w:bCs/>
          <w:sz w:val="32"/>
        </w:rPr>
        <w:t>附件</w:t>
      </w:r>
      <w:r>
        <w:rPr>
          <w:rFonts w:hint="eastAsia" w:ascii="黑体" w:hAnsi="黑体" w:eastAsia="黑体" w:cs="黑体"/>
          <w:bCs/>
          <w:sz w:val="32"/>
          <w:lang w:val="en-US" w:eastAsia="zh-CN"/>
        </w:rPr>
        <w:t>3</w:t>
      </w:r>
    </w:p>
    <w:p w14:paraId="3550F5EA">
      <w:pPr>
        <w:snapToGrid w:val="0"/>
        <w:spacing w:line="66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</w:rPr>
        <w:t>浙江省建设科研项目申报表</w:t>
      </w:r>
    </w:p>
    <w:p w14:paraId="4741549C">
      <w:pPr>
        <w:snapToGrid w:val="0"/>
        <w:spacing w:line="660" w:lineRule="exact"/>
        <w:jc w:val="center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</w:t>
      </w:r>
      <w:r>
        <w:rPr>
          <w:rFonts w:ascii="Times New Roman" w:hAnsi="Times New Roman" w:eastAsia="楷体_GB2312" w:cs="Times New Roman"/>
          <w:sz w:val="32"/>
          <w:szCs w:val="32"/>
        </w:rPr>
        <w:t>202</w:t>
      </w:r>
      <w:r>
        <w:rPr>
          <w:rFonts w:hint="eastAsia" w:ascii="Times New Roman" w:hAnsi="Times New Roman" w:eastAsia="楷体_GB2312" w:cs="Times New Roman"/>
          <w:sz w:val="32"/>
          <w:szCs w:val="32"/>
          <w:lang w:val="en-US" w:eastAsia="zh-CN"/>
        </w:rPr>
        <w:t>6</w:t>
      </w:r>
      <w:r>
        <w:rPr>
          <w:rFonts w:hint="eastAsia" w:ascii="楷体_GB2312" w:hAnsi="楷体_GB2312" w:eastAsia="楷体_GB2312" w:cs="楷体_GB2312"/>
          <w:sz w:val="32"/>
          <w:szCs w:val="32"/>
        </w:rPr>
        <w:t>年度）</w:t>
      </w:r>
    </w:p>
    <w:p w14:paraId="3315AFD5">
      <w:pPr>
        <w:snapToGrid w:val="0"/>
        <w:spacing w:line="660" w:lineRule="exact"/>
        <w:rPr>
          <w:sz w:val="28"/>
        </w:rPr>
      </w:pPr>
    </w:p>
    <w:p w14:paraId="616FE1CC">
      <w:pPr>
        <w:snapToGrid w:val="0"/>
        <w:spacing w:after="158" w:afterLines="50" w:line="660" w:lineRule="exact"/>
        <w:ind w:firstLine="1056" w:firstLineChars="300"/>
        <w:rPr>
          <w:rFonts w:hint="eastAsia" w:ascii="黑体" w:eastAsia="黑体"/>
          <w:bCs/>
          <w:spacing w:val="16"/>
          <w:sz w:val="32"/>
          <w:szCs w:val="32"/>
        </w:rPr>
      </w:pPr>
      <w:r>
        <w:rPr>
          <w:rFonts w:hint="eastAsia" w:ascii="黑体" w:eastAsia="黑体"/>
          <w:bCs/>
          <w:spacing w:val="16"/>
          <w:sz w:val="32"/>
          <w:szCs w:val="32"/>
        </w:rPr>
        <w:t>项目名称：面向公众的装配式内装知识服务与交互智能体关键技术研究</w:t>
      </w:r>
    </w:p>
    <w:p w14:paraId="72425751">
      <w:pPr>
        <w:snapToGrid w:val="0"/>
        <w:spacing w:line="660" w:lineRule="exact"/>
        <w:rPr>
          <w:sz w:val="28"/>
        </w:rPr>
      </w:pPr>
    </w:p>
    <w:p w14:paraId="639DDCF2">
      <w:pPr>
        <w:snapToGrid w:val="0"/>
        <w:spacing w:after="158" w:afterLines="50" w:line="660" w:lineRule="exact"/>
        <w:ind w:firstLine="1120" w:firstLineChars="350"/>
        <w:rPr>
          <w:rFonts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 xml:space="preserve">第一申报单位：【申报单位名称】（盖章）</w:t>
      </w:r>
    </w:p>
    <w:p w14:paraId="618E8019">
      <w:pPr>
        <w:snapToGrid w:val="0"/>
        <w:spacing w:after="158" w:afterLines="50" w:line="660" w:lineRule="exact"/>
        <w:ind w:firstLine="1120" w:firstLineChars="350"/>
        <w:jc w:val="left"/>
        <w:rPr>
          <w:rFonts w:hint="eastAsia"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 xml:space="preserve">协作单位：【协作单位一】（盖章）</w:t>
      </w:r>
    </w:p>
    <w:p w14:paraId="03114065">
      <w:pPr>
        <w:snapToGrid w:val="0"/>
        <w:spacing w:after="158" w:afterLines="50" w:line="660" w:lineRule="exact"/>
        <w:ind w:firstLine="2720" w:firstLineChars="850"/>
        <w:jc w:val="left"/>
        <w:rPr>
          <w:rFonts w:hint="eastAsia"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 xml:space="preserve">【协作单位二】（盖章）</w:t>
      </w:r>
    </w:p>
    <w:p w14:paraId="17AB9C82">
      <w:pPr>
        <w:snapToGrid w:val="0"/>
        <w:spacing w:after="158" w:afterLines="50" w:line="660" w:lineRule="exact"/>
        <w:ind w:firstLine="2720" w:firstLineChars="850"/>
        <w:jc w:val="left"/>
        <w:rPr>
          <w:rFonts w:hint="eastAsia" w:ascii="仿宋_GB2312" w:hAnsi="宋体" w:eastAsia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/>
          <w:bCs/>
          <w:sz w:val="32"/>
          <w:szCs w:val="32"/>
          <w:lang w:val="en-US" w:eastAsia="zh-CN"/>
        </w:rPr>
        <w:t xml:space="preserve"/>
      </w:r>
    </w:p>
    <w:p w14:paraId="5DCDC5C7">
      <w:pPr>
        <w:snapToGrid w:val="0"/>
        <w:spacing w:after="158" w:afterLines="50" w:line="660" w:lineRule="exact"/>
        <w:ind w:firstLine="1120" w:firstLineChars="350"/>
        <w:rPr>
          <w:rFonts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>起止年限：2026年10月至2028年9月</w:t>
      </w:r>
    </w:p>
    <w:p w14:paraId="0B2C4080">
      <w:pPr>
        <w:snapToGrid w:val="0"/>
        <w:spacing w:after="158" w:afterLines="50" w:line="660" w:lineRule="exact"/>
        <w:ind w:firstLine="1120" w:firstLineChars="350"/>
        <w:rPr>
          <w:rFonts w:ascii="仿宋_GB2312" w:hAnsi="宋体" w:eastAsia="仿宋_GB2312"/>
          <w:bCs/>
          <w:sz w:val="32"/>
          <w:szCs w:val="32"/>
          <w:u w:val="single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 xml:space="preserve">联 系 人：【联系人】        联系电话：【电话】</w:t>
      </w:r>
    </w:p>
    <w:p w14:paraId="31041FDD">
      <w:pPr>
        <w:snapToGrid w:val="0"/>
        <w:spacing w:after="158" w:afterLines="50" w:line="660" w:lineRule="exact"/>
        <w:ind w:firstLine="1120" w:firstLineChars="350"/>
        <w:rPr>
          <w:rFonts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 xml:space="preserve">通讯地址：【通讯地址】</w:t>
      </w:r>
    </w:p>
    <w:p w14:paraId="4CF4DBBB">
      <w:pPr>
        <w:snapToGrid w:val="0"/>
        <w:spacing w:after="158" w:afterLines="50" w:line="660" w:lineRule="exact"/>
        <w:ind w:firstLine="1120" w:firstLineChars="350"/>
        <w:rPr>
          <w:rFonts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 xml:space="preserve">邮    编：【邮编】</w:t>
      </w:r>
    </w:p>
    <w:p w14:paraId="6CA95278">
      <w:pPr>
        <w:snapToGrid w:val="0"/>
        <w:spacing w:line="660" w:lineRule="exact"/>
        <w:jc w:val="center"/>
        <w:rPr>
          <w:rFonts w:ascii="仿宋_GB2312" w:hAnsi="宋体" w:eastAsia="仿宋_GB2312"/>
          <w:bCs/>
          <w:sz w:val="32"/>
          <w:szCs w:val="32"/>
        </w:rPr>
        <w:sectPr>
          <w:headerReference r:id="rId5" w:type="default"/>
          <w:pgSz w:w="12472" w:h="15874"/>
          <w:pgMar w:top="1644" w:right="1644" w:bottom="1644" w:left="1644" w:header="851" w:footer="992" w:gutter="0"/>
          <w:pgNumType w:start="1"/>
          <w:cols w:space="0" w:num="1"/>
          <w:titlePg/>
          <w:docGrid w:type="lines" w:linePitch="316" w:charSpace="0"/>
        </w:sectPr>
      </w:pPr>
      <w:r>
        <w:rPr>
          <w:rFonts w:hint="eastAsia" w:ascii="仿宋_GB2312" w:hAnsi="宋体" w:eastAsia="仿宋_GB2312"/>
          <w:b/>
          <w:sz w:val="32"/>
          <w:szCs w:val="32"/>
        </w:rPr>
        <w:t>浙江省住房和城乡建设厅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1058"/>
        <w:gridCol w:w="354"/>
        <w:gridCol w:w="984"/>
        <w:gridCol w:w="99"/>
        <w:gridCol w:w="239"/>
        <w:gridCol w:w="797"/>
        <w:gridCol w:w="1058"/>
        <w:gridCol w:w="906"/>
        <w:gridCol w:w="299"/>
        <w:gridCol w:w="187"/>
        <w:gridCol w:w="1213"/>
        <w:gridCol w:w="580"/>
        <w:gridCol w:w="1400"/>
      </w:tblGrid>
      <w:tr w14:paraId="60DF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3AC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一、研究目的、意义和国内外水平</w:t>
            </w:r>
          </w:p>
        </w:tc>
      </w:tr>
      <w:tr w14:paraId="40C2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1.1研究目的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装配式内装（装配化装修）是建筑业工业化、绿色化转型的重要方向。在“双碳”目标与新型建筑工业化政策推动下，国家与浙江省已密集出台政策与技术标准：国家层面有 JGJ/T 491—2021《装配式内装修技术标准》、GB 55038—2025《住宅项目规范》、GB 50325—2020《民用建筑工程室内环境污染控制标准》等；浙江省先后印发《装配式内装修设计导则》（浙建管发〔2024〕72 号）、《浙江省装配式“厨卫换新”工程技术导则（试行）》（浙建管发〔2024〕119 号）、施工技术要点、施工图设计文件技术审查要点、评价标准、质量安全监督要点、合同示范文本等成套文件，并配套旧房装修与厨卫改造补贴细则。政策供给不可谓不足，但推广面临突出瓶颈：社会公众对装配式内装认知度低、了解渠道单一、专业政策与规范解读困难。认知低的具体表现为：将装配式内装误解为“廉价拼装”“集装箱房”，对其质量耐久性、环保性缺乏了解；对可享受的补贴政策不知晓、不会申领；遇到质量争议时不知道依据哪份规范维权。针对 476 名消费者的实证调查显示，“传统观念障碍”是居民抵触装配式内装的最主要预测因素[16]——认知与信任问题已成为制约推广的关键环节。现有宣传方式（展板、宣传手册、单向视频）以“我说你听”的单向传播为主，缺乏互动性与个性化，老百姓“想问没得问、问了没人答、答了看不懂”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把专业文件搬上网，并不等于公众就能读懂。这类文件的目标读者是建设、设计、施工与审查人员：以《装配式内装修设计导则》为例，其术语体系（干式工法、可逆安装、管线与结构分离、模数协调）与生活语言几乎没有交集；政策文件以“申领条件”的条文形式表述，而居民真正关心的是“我家八十平方米的厨房卫生间翻新能补多少钱、要交什么材料、多久到账”。两者之间存在三重落差：一是语言落差，术语对口语；二是适用性落差，一份省级文件究竟适用于哪些市、哪些年份、哪类房屋，条文本身并不直说；三是可信度落差，大模型容易编造条文，而公众无从核验。这三重落差决定了一个基本判断：仅仅把文档做成检索库，解决不了公众的知识获取问题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本课题把“专业知识如何转化为公众可理解、可交互、可信赖的知识服务”作为研究对象，而不是把“用大模型做一个问答系统”作为目标。前期已建成的工程原型解决了“找得到、答得出”——能把工程文档解析建库、以混合检索召回依据、由大模型生成带引用出处的答案。但“找得到”不等于“用得对”，“答得出”不等于“看得懂、信得过”。本课题在既有工程基础上解决四项新的科学与技术问题：一是多源知识的结构化治理与时空适用性判断——公众问题往往同时约束地域、时间与房屋类型（如“我在宁波，2026 年旧房厨卫改造能否享补贴、需要什么条件”），单靠相似度检索无法判断某份文件对该问题是否适用；二是生活语言与专业术语的双向语义转换——查询侧把口语映射为可召回的规范表达，回答侧把规范条文转写为生活语言而不失信息保真；三是证据约束下的适用性判断与可信拒答——不仅要判断“有没有依据”，更要判断“依据够不够、适不适用”，不足时明确拒答并说明原因；四是面向公众的多轮交互智能体——公众首次提问往往信息不全，系统需要主动澄清、补全条件、跨轮保持上下文，必要时调用政策查询等工具或转人工。上述四项共同构成“可理解、可交互、可信赖”的知识服务能力，与前期平台的检索生成能力形成互补：平台提供事实底座，本课题提供面向公众的服务化能力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系统重点覆盖三类典型场景：一是装修前决策——百姓想了解装配式内装“是什么、好不好、贵不贵、靠不靠得住”，系统用生活语言解释技术特点与优势并给出条文依据；二是政策享惠——询问旧房装修与厨卫改造补贴的申领条件、流程与材料，系统依据现行有效、且适用于其所在地域的政策文件作答，并提示时效与适用范围；三是过程咨询——对施工工艺、质量验收依据的疑问，系统引用标准规范原文给出条款级解答并附出处。目标是让普通百姓便捷、直观地掌握装配式内装的技术特点、优势、政策法规及标准规范，提升社会接受度与推广效果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总目标：建成“建得全、判得准、答得懂、信得过、用得顺”的装配式内装公众知识服务系统与交互智能体，形成可复制的方法体系并完成试点应用。具体目标分解为五项：①知识基础——建成覆盖国家—省—市三级、标准规范与政策案例兼备、并带结构化适用范围标注的装配式内装知识库，脏文档解析成功率不低于 95%（判定口径见第二节）；②检索质量——混合检索与重排在基础题集 Recall@8 不低于 0.90、口语题集不低于 0.75；③可信保障——规则型证据闸门在 122 道库内对照题上误拒率不高于 2%，库外问题按五类分项报告拦截率、误拒率对全部可答题统一统计，回答引用来源准确率与答案证据支持率均不低于 95%；④语言转化——生活语言与专业术语双向转换，术语白话解释与政策条件抽取的正确率作为过程指标记录，公众满意度不低于 85%；⑤交互与示范——形成支持多轮澄清的交互智能体原型，多轮信息补全成功率不低于 80%、任务完成率不低于 75%、平均澄清轮数不超过 3 轮，并完成不少于 100 人次真实用户参与的试点评估。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1.2研究意义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一是服务装配式内装推广的现实需要。认知度低是政策落地“最后一公里”的堵点：政策文件越密集，群众越需要有人“翻译”成听得懂的话。本系统把权威政策与标准转化为老百姓听得懂的交互式问答——任何时候、任何问题都能得到有出处的解答，直接服务社会接受度提升与行业推广，也为住建部门、试点企业提供政策宣传的智能载体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二是破解大模型进入民生科普场景的可信性难题。面向公众的科普问答比专业服务更怕“编造条文”——错误回答会直接误导群众的装修选择与补贴申领决策，且影响面广、纠错成本高。本课题把“答必有据、无据拒答”作为硬约束，并要求区分“没有依据”与“依据不适用”两种情形分别处置（前者拒答，后者说明适用边界），为大模型进入民生服务场景提供可复制的可信性范式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三是突破生活语言与专业术语的双向转换难题。这不仅是维护一份同义词表，而是刻画公众表达中的模糊性（“贵不贵”）、场景性（“厨房整体换掉”）与条件隐含性（地域、年份、房屋类型往往不说但必须判）。本课题形成的“语义映射＋条件抽取＋不失真改写”方法具有方法论价值，可迁移至政务公开、社保医保等同类公众服务领域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四是形成面向公众的知识服务方法体系。研究不止于“做一个系统”，而是把多源知识治理、时空适用性判断、证据约束交互、公众效果评价四环闭合，为工程建设领域的知识传播提供可评估、可复现的方法参考，也可为其他强规范、强时效行业的公众服务所借鉴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1.3国内外水平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1.3.1 国外发展现状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在技术基础上，检索增强生成已从“检索＋生成”的基础拼接，演进到分级检索、重排、自我反思与工具增强的工程范式[1][2]。以 Transformer 为核心的预训练语言模型提供了统一的语义底座[3]，稠密向量检索擅长语义泛化、BM25 擅长精确术语命中，二者各有所长[4][6]，融合与重排成为提升召回质量的主流路径；面向 RAG 链路的系统性评测方法也逐步建立，幻觉、忠实度与引用准确性成为核心评测维度[5]。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在公众知识传播方向上，国外较早关注“语言可及性”（plain language / health literacy），主张面向公众发布的信息必须达到可读性门槛。对澳大利亚维多利亚州两个政府部门网站 2020 年发布的 367 个疫情相关网页进行可读性分析发现，其文本整体阅读难度偏高，理解内容约需高中高年级及以上阅读水平——这说明专业公共信息即使已经公开，也不意味着公众能够轻松理解[19]；在公共服务交互方面，已有研究构建面向市民的 AI 引导式聊天机器人平台，依托法规、办事指南等文档并以日常语言支持咨询与事务办理，其研究明确指出：面向公众的交互必须应对表达中的复杂性、模糊性与不确定性[18]。上述工作从两个方向证明了“通俗化”与“可交互”是公众知识服务的两条主线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在文档智能方向上，版面分析、表格结构识别与章节层级还原等技术持续进步，但多为通用场景设计；对工程建设这类长文档、强规范、图表编号密集的文档，通用方案对章节树、表格单元格正文、公式与图表编号等结构化信息利用不足，按字数硬切分块导致上下文丢失的问题普遍存在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值得注意的是，上述研究多以“内容可读”或“交互可达”为终点，较少同时处理“这份依据是否适用于这个具体的人、这个地方、这个时间”——而这恰恰是建筑技术类公众问答的核心难点：同一问题在不同地市、不同年份可能有完全不同的适用文件。面向建筑领域、兼顾通俗表达与适用性判断的公众知识服务研究尚不多见，本课题切入的正是这一环节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1.3.2 国内研究现状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国内工程建设领域数字化、智能化持续推进，智能建造已成为建筑业高质量发展的重要方向[7]，全国多个城市建设智能建造试点，装配化装修作为建筑工业化的重要抓手被纳入多地试点任务。在文本智能处理方面，统计自然语言处理、机器学习与深度学习奠定了方法基础[8][9][10]，基于预训练模型的自然语言处理方法日趋成熟[11]，知识图谱等技术为领域知识组织提供了参照[12]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近两年，大模型在建设领域的落地研究明显提速：有研究从行业层面系统分析了建筑施工安全大模型的应用挑战、建设路径与典型场景[13]；有研究以大模型构建施工安全多模态知识图谱，实现文本与图像知识的统一表达与推理[14]；也有研究将大模型与 BIM 结合，以自然语言驱动施工进度的识别与更新[15]。上述工作的共同点是面向行业内部的生产管理场景，服务对象是专业人员。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在政策与标准供给方面，浙江省已形成较为完整的技术文件体系：《装配式内装修设计导则》（浙建管发〔2024〕72 号）[20]、《浙江省装配式“厨卫换新”工程技术导则（试行）》（浙建管发〔2024〕119 号）[21]、装配式内装修施工图设计文件技术审查要点[22]，以及评价标准、质量安全监督要点、合同示范文本与旧房装修补贴细则等。需要指出的是，这些文件的目标读者是建设、设计、施工、审查与管理人员，其体例与表述方式并不面向居民；国家层面，《“十四五”建筑业发展规划》将装配化装修列为重点方向[17]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在公众认知方面，基于创新抵制理论对 476 名消费者的实证调查显示，风险障碍、使用障碍与传统观念构成主要抵触来源，其中传统观念是最强预测因素——它反映的是对现场砌筑工艺的路径依赖与对工业化内装的刻板印象[16]；这说明“看不懂、不信任”是推广的关键堵点。然而应对手段仍停留在行业叙事与单向宣传层面：各地推广依赖展板、开放日、宣传册等传统形式，缺乏面向公众的可交互、个性化知识服务；专业术语的生活化转化多依靠人工编写科普读物，成本高、更新慢，尚未与智能问答结合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总体判断：现有研究在建筑行业专业知识服务、工程文档解析与检索增强生成方面已有一定积累，但面向装配式内装公众科普的多源知识治理、生活化语言理解、政策时效与地域适用性判断以及证据约束的交互服务，尚缺乏系统集成与实证验证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1.3.3 现状总结与不足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综上，通用 RAG 框架已具备，行业侧大模型应用正在起步，但面向公众的装配式内装知识服务仍存在四方面不足：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一是多源知识的结构化治理与时空适用性管理缺乏方法。现行知识库多按目录或主题分类，未把行政层级、实施日期、有效状态、适用对象等做成可查询、可判定的元数据；一份省级文件能否覆盖某市、一份补贴细则是否仍然有效，系统无从判断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二是生活语言与专业术语之间的语义映射缺乏系统研究。现有做法多为人工编写科普读物或维护同义词表，难以覆盖口语的模糊表达（“贵不贵”“靠不靠得住”）、场景化表达（“老房子翻新”“厨房整体换掉”）与隐含条件（地域、年份、房屋类型）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三是证据约束的可信拒答在语义层面尚未解决。规则判据可以处理“没有检索到”“地域不覆盖”“年份不匹配”，但对“问题看似相关、实际没有对应依据”的情形判断尚不稳定；同时缺少把拦截率与误拒率成对报告的评价规范，容易把有限类别的测试结果误读为普遍能力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四是面向公众的多轮交互与效果评价缺乏实证。现有系统多为单轮问答，而公众的真实咨询往往信息不全、需要澄清；更重要的是，鲜有研究回答“用了这个系统之后，公众是不是真的更懂了”。本课题围绕上述四方面展开，形成“治理—转换—判断—交互—评价”的完整链路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参考文献：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[1] Lewis P, Perez E, Piktus A, et al. Retrieval-augmented generation for knowledge-intensive NLP tasks[C]//Advances in Neural Information Processing Systems. 2020, 33: 9459-9474.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[2] Gao Y, Xiong Y, Gao X, et al. Retrieval-augmented generation for large language models: A survey[J]. arXiv preprint arXiv:2312.10997, 2023.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[3] Vaswani A, Shazeer N, Parmar N, et al. Attention is all you need[C]//Advances in Neural Information Processing Systems. 2017, 30: 5998-6008.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[4] Karpukhin V, Oğuz B, Min S, et al. Dense passage retrieval for open-domain question answering[C]//Proceedings of the 2020 Conference on Empirical Methods in Natural Language Processing. 2020: 6769-6781.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[5] Chen J, Lin H, Han X, et al. Benchmarking large language models in retrieval-augmented generation[C]//Proceedings of the AAAI Conference on Artificial Intelligence. 2024, 38(16): 17754-17762.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[6] Robertson S, Zaragoza H. The probabilistic relevance framework: BM25 and beyond[J]. Foundations and Trends in Information Retrieval, 2009, 3(4): 333-389.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[7] 陈珂, 丁烈云. 我国智能建造关键领域技术发展的战略思考[J]. 中国工程科学, 2021, 23(4): 64-70.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[8] 宗成庆. 统计自然语言处理[M]. 2版. 北京: 清华大学出版社, 2013.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[9] 邱锡鹏. 神经网络与深度学习[M]. 北京: 机械工业出版社, 2020.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[10] 周志华. 机器学习[M]. 北京: 清华大学出版社, 2016.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[11] 车万翔, 郭江, 崔一鸣. 自然语言处理——基于预训练模型的方法[M]. 北京: 电子工业出版社, 2021.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[12] 王昊奋, 漆桂林, 陈华钧. 知识图谱: 方法、实践与应用[M]. 北京: 电子工业出版社, 2019.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[13] 赵磊, 武彦清, 周大伟, 等. 建筑施工安全领域大语言模型构建思路与方法研究[J]. 土木工程学报, 2025, 58(10): 144-152.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[14] 董磊, 吴福居, 史健勇, 等. 基于大语言模型的施工安全多模态知识图谱的构建与应用[J]. 计算机工程与应用, 2025, 61(9): 325-333.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[15] 金新翔, 林啸, 俞欣汝, 等. 基于BIM和大语言模型的施工进度更新方法[J]. 清华大学学报(自然科学版), 2025, 65(1): 35-44.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[16] Zhao Y, Zhu C, Wei W. Unpacking the cognitive architecture of consumer resistance to prefabricated interior decoration systems in China: An empirical study based on innovation resistance theory[J]. Systems, 2026, 14(5): 475.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[17] 住房和城乡建设部. “十四五”建筑业发展规划（建市〔2022〕11 号）[Z]. 2022.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[18] Androutsopoulou A, Karacapilidis N, Loukis E, et al. Transforming the communication between citizens and government through AI-guided chatbots[J]. Government Information Quarterly, 2019, 36(2): 358-367.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[19] Serry T, Stebbins T, Martchenko A, et al. Improving access to COVID-19 information by ensuring the readability of government websites[J]. Health Promotion Journal of Australia, 2023, 34(2): 595-602.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[20] 浙江省住房和城乡建设厅. 装配式内装修设计导则（浙建管发〔2024〕72 号）[Z]. 2024-04-16.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[21] 浙江省住房和城乡建设厅. 浙江省装配式“厨卫换新”工程技术导则（试行）（浙建管发〔2024〕119 号）[Z]. 2024-08-07.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[22] 浙江省住房和城乡建设厅. 浙江省装配式内装修施工图设计文件技术审查要点（浙建管发〔2024〕106 号）[Z]. 2024-07-03.</w:t>
            </w:r>
          </w:p>
        </w:tc>
      </w:tr>
      <w:tr w14:paraId="7252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AD3C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二、项目主要研究内容</w:t>
            </w:r>
          </w:p>
        </w:tc>
      </w:tr>
      <w:tr w14:paraId="5202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本课题不是通用问答系统向建筑领域的简单套用，而是围绕“专业知识→公众知识服务”的转化过程组织研究：聚焦四项关键问题，并以三项支撑技术保障工程可落地。前期已建成的工程原型（工程文档解析、混合检索、引用生成、可复现评测、660 项自动化测试）作为技术底座，本课题的研究增量集中于四项关键问题。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（一）四项关键问题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1. 装配式内装多源知识的结构化治理与时空适用性管理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针对现行知识库“按目录分类、不能判断适用性”的问题，研究装配式内装多源知识的多维元数据体系。文件身份维度记录名称、编号、发布单位与来源链接；文件类型维度区分标准、规范、导则、政策、案例与论文；行政适用范围维度标注国家、省、市、区县；时间属性维度记录发布日期、实施日期与失效日期；有效状态维度标注现行、废止、被替代与征求意见稿；适用条件维度记录建筑类型、改造类型、项目阶段与适用对象；版本关系维度记录替代、修订与引用关系。目录体系解决“放在哪里”，元数据体系解决“能不能用”，二者构成双层结构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该方向的核心判断是：公众的问题经常不是“有没有相关文件”，而是“这份文件对我这个情况适不适用”。典型问题如“我在宁波，2026 年进行旧房厨卫改造，是否可以享受补贴、需要满足什么条件”，同时约束了行政地域、实施时间、房屋类型与改造部位，单靠向量相似度无法完成适用性判断。研究将把适用性判断从“检索结果的相似度排序”转化为“基于元数据的可判定条件过滤”，使每一个过滤结果都可解释、可追溯。同步研究知识库的版本治理机制：政策文件换版后，经来源核验与人工审核完成版本更新并生效，新旧版本并存时以有效状态字段区分，供适用性判断与拒答判据调用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政策类文件的时效性尤须单独处理。旧房装修与厨卫改造补贴通常按年度设定购买行为的时间窗口，2024 年的地方文件不能用于判断 2026 年的资格。因此项目实施初期即按 2026 年现行政策与市级配套文件完成收录，为每份政策标注实施、截止、废止、替代四类状态并定期核验；优先完成宁波、杭州等具备试点条件城市的政策整理，形成可直接支撑资格判断的市级政策包。对政策未明确规定的情形（如某类房屋是否纳入补贴范围），系统必须明确说明“本库无法确认”并给出官方查询渠道，不允许由生成模型推断补全——这条约束本身就是时空适用性管理区别于通用检索的体现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2. 公众生活语言与专业术语的双向语义转换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查询侧（生活化 → 规范化）：前期已以领域“查找表”方式实现基础映射，并在重排查询阶段注入——14 题受控题集上“标准答案片段进入重排池”的比例由 11/14 提升至 14/14，口语题集 Recall 由 0.640 提升至 0.720，误触发率为零。本课题在此基础上向语义结构层推进：研究公众口语的意图分类（政策咨询、技术咨询、质量争议、价格比较）、同义与近义表达的归一、模糊程度词的处理（“贵不贵”“靠不靠得住”）、场景化表达的解析（“老房子翻新”“厨房整体换掉”）以及隐含条件的抽取（地域、年份、房屋类型、改造部位）。当关键条件缺失时，触发主动澄清而非猜测作答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回答侧（规范化 → 生活化）：研究面向公众的答案通俗化生成——自动识别答案中的专业术语并附加白话解释，结合工期、费用、环保等生活实例进行类比，控制回答长度与语气；研究“公众模式 / 专业模式”双档位，同一问题按用户身份输出不同深度与措辞的答案。通俗化遵循“不失真”红线：改写前后做语义一致性校验，关键数字、条款号、时限一律不得改变，确保“看得懂”不以“答得不准”为代价。效果评价采用理解度前后测：同一批用户在问答前后各完成一次知识测试，以得分变化衡量转换是否真正生效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3. 证据约束下的适用性判断与可信拒答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把拒答判断拆成三层：第一层“有没有依据”，即检索是否召回到候选片段；第二层“适不适用”，即候选文件的地域、年份、文件类型与文件效力是否覆盖提问情境；第三层“够不够”，即片段内容是否足以支撑结论。第二层中，空召回与年份两类判据可确定性执行（年份须区分“资料年”与“任务期”，区间后跟“年间”“期间”等为任务期，不作筛选条件）；地域判断则须区分两件事：一是地方性文件的覆盖范围——是否存在针对该行政区域发布的文件，省级文件能否向下覆盖市级与区县，应以文件明确规定的适用范围为准，不得仅凭行政层级作无条件推断，部分文件限定特定区县、限定项目类型或设有附加实施条件，此类例外须按条款处理；二是国家标准的适用性——国家标准不针对特定行政区域发布，其是否适用由标准自身的适用范围、实施状态与强制/推荐属性决定，不因提问地点而被排除，因此国家层级文件不参与“地方覆盖”的有无判定。现有实现对地域仅作保守的层级启发式处理（本市无文件而省级有文件时不作拒答、改挂“省级口径”的非阻断提示；国家层级文件与地方覆盖判定分开处理），该结果只是提示，不构成适用性结论；本课题拟建立以文件明确适用范围为依据的层级覆盖规则、例外处理机制与可追溯的判定链。上述保守处理已在 122 道库内对照题上取得误拒 0 题的实测结果，覆盖范围限于空召回、年份与地域三类情形。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第三层是尚未解决的部分，也是本课题的研究重点。现有 33 道库外测试题中，属空召回、地域不覆盖、年份不匹配的共 12 道可由规则拦截，另有 21 道属“主题相近但库内并无对应规定”，规则无法判定。离线实验表明，引入大模型判官可提升此类问题的识别能力（在 top-k=8 条件下拦截 28~30 道），但同时带来库内误拒 4~8 题，且同一批冻结候选重复判定会出现 4~8 题结论翻转——这说明该层不是确定性测量，不能直接用于阻断。据此本课题拟研究：把“近主题无依据”拆成可判定的子问题（同类技术？同一对象？同一适用条件？），研究规则与模型混合的判据及其置信度校准方法，并建立“拦截率—误拒率”成对报告的评价规范。接入纪律上坚持“判官只提示、规则才阻断”，避免以可信性之名引入新的误拒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在动作层面建立三级证据状态与系统处置的对应关系：其一，证据充分且适用——正常作答并提供片段级引用；其二，有相关依据但不足以支撑结论——不给出结论性判断，改为提示证据不足、继续追问或建议补充资料，例如居民询问“我家厨房用这种墙板是否符合装配式内装要求”，库内只有墙板的性能指标要求而无该产品的型式检验数据，系统应说明“库内可确认的是墙板的性能指标要求，该具体产品是否合格须以型式检验报告为准”，而不能输出“符合要求”；其三，无依据或明确不适用——拒答并说明原因与适用边界，附官方查询渠道。三档处置的关键，是把“检索到相关条文”与“证据足以支撑结论”分开，避免以相关性替代充分性。指标口径同步明确：库外拦截率按空召回、地域、时间、主题、近主题五类分别统计；库内误拒率是对全部可答题的单一指标，不为每类库外问题各设一个误拒率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4. 面向公众的多轮交互智能体与效果评价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现有系统以单轮问答为主，而公众的真实咨询通常是多轮、信息不全、逐步明确的过程。本课题研究面向公众的交互智能体能力：多轮上下文管理（记住用户的地域、房屋类型、改造部位与预算区间）、主动澄清（条件缺失时以最少问题追问而非默认取值）、条件补全（由对话历史推断并请用户确认）、任务引导（把“能不能补”引导为“按步骤怎么办”）、工具调用（政策适用范围查询、条件匹配计算）以及异常转人工（识别高风险或超出能力边界的提问并转接）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同时建立公众服务的风险分级与能力边界机制，按问题性质分档处置：一般技术科普与政策查询，在证据支持范围内给出带引用的解释；涉及政策最终资格的问题（能否享受补贴、可补多少），系统只解释申领条件、办理流程、材料要求与政策出处，并提示资格须经属地主管部门核验，不作承诺性结论；涉及工程质量认定与责任判定的问题，系统只解释相关标准条款、质量要求与咨询渠道，不依据用户描述判定是否合格，同时提供检测机构、主管部门或属地服务窗口的查询途径。该机制使“异常转人工”从功能名词变为可执行的分级处置规则，也是公众服务场景下避免“知识解释被误作行政认定或工程鉴定”的必要约束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同步研究公众服务效果的评价方法：设计理解度前后测、任务完成率与满意度量表，采集真实公众问题并建立问题类型—理解困难—咨询渠道的分析框架。评价样本须按用途区分：前期 100~150 份居民问卷与 15~20 人次从业者访谈用于需求调研、界定问题分布与表达习惯，不作为后期效果验证样本；试点阶段另组织不少于 100 人次真实用户的使用测试，满意度有效样本不少于 100 人，两组样本不重叠。理解度前后测采用题型与难度匹配的两套平行卷（A/B 卷随机分配），避免用户因记住前测题目而产生虚假提升；以前测与后测的差值衡量知识理解改善程度，使“系统是否真的改善了公众理解”成为可测量的结论，而非主观判断。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（二）三项支撑技术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5. 工程文档结构解析与切块（技术支撑）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面向导则、标准、图集、政策文件等装配式内装典型文档形态优化解析判据：docx 采用“大纲 → 样式 → 编号”三级判据；pdf 无样式表，采用“正文字号 → 字号/加粗判标题 → 编号定级”的反推方法；解决正文位于表格单元格（含合并单元格重复十余次）、目录页干扰、“1）”公式编号误判为条款编号等高发问题。对扫描件与缺 ToUnicode 字体（乱码）的 PDF 建立视觉模型 OCR 通道，以“按页缓存＋内容寻址”保证可复现。切块按章节树而非字数硬切，向量化时携带完整层级路径，检索命中片段可还原其上下文与出处条款号；建立“解析金丝雀”回归机制，以固定样例文档持续监测判据变更的影响范围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6. 混合检索与跨通道融合（技术支撑）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研究向量检索与 BM25 全文检索的混合召回：向量召回语义相近依据，BM25 召回精确术语命中，二者经融合与重排后输出。本方向不以“提出新的融合算法”为目标，而是面向装配式内装专业语料做跨通道校准与参数选取，并以 RRF、单通道检索作为对照基线，通过消融实验证明改进来自何处——前期已在基础题集上实测得到“纯向量 0.806、混合后 0.871”的对照结果，并明确了“术语精确命中靠 BM25、语义泛化靠向量”的分工边界。同时针对评测中暴露的“池边界抖动”现象（同一查询多次独立检索，候选集合存在小幅波动，155 题中约 17 题会变化），建立“固定语料快照＋冻结候选＋同日对照”的评测纪律，避免把检索噪声误读为方法差异。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7. 评测体系与服务化交付（技术支撑）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研究工程文档问答的评测方法：题集围绕装配式内装领域构建（基础、口语、独立复核、库外拒答、库内对照），库外题按空召回、地域、时间、主题、近主题五类分项建集，拒答类指标一律成对报告拦截率与误拒率；召回类指标明确为 Recall@8（与生产 top-k 一致）并同步报告 MRR；新增引用来源准确率（所引文件、章节、条款是否与答案主张匹配）与答案证据支持率（事实性结论能否被引用片段支持）两项人工核验指标。建立语料快照、解析金丝雀、报告内容哈希（源码指纹＋语料 id 摘要＋服务商/模型/温度身份）等机制，评测缓存带完整身份、关键参数不符即拒绝复用，杜绝“参数漂移被误读为效果提升”。服务化方面，基于 FastAPI 构建开放接口与 Web 问答界面（流式输出、引用片段跳转），配套管理端实现文档入库、元数据维护、词表维护、任务监控与语料快照管理，并以角色令牌实现公众访问端与维护端的权限隔离。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（三）量化考核指标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为保证成果可考核，各项指标统一口径如下：①脏文档解析成功率不低于 95%——以 50 份人工标注样例为基准，按普通 DOCX、文本型 PDF、扫描型 PDF、缺字体映射 PDF、复杂表格文档五类分层抽样，文本完整率不低于 98%、章节层级还原正确率不低于 95%，需 OCR 的样本另要求字符错误率（CER）不高于 5%，三项同时达标方计为成功，且 OCR 指标只在需要 OCR 的子集上统计；②检索质量——Recall@8（k=8，与生产配置一致）基础题集不低于 0.90、口语题集不低于 0.75，并同步报告 MRR；③引用来源准确率不低于 95%——从试点问答日志中按问题类型分层随机抽取 100 条回答，核验所引文件、章节与条款是否与答案主张对应，由两名标注人独立判定，分歧交第三人复核；④答案证据支持率不低于 95%——同批抽样核验回答中的事实性结论能否被所引片段支持，判定规则为“片段的字面表述足以推出该结论”方计为支持，标注与复核方法同上；⑤规则型证据闸门在 122 道库内对照题上误拒率不高于 2%，库外五类问题分项报告拦截率，误拒率为对全部可答题的单一指标，不以单一拦截率替代；⑥多轮交互能力——在不少于 50 个预置任务（政策查询、装修咨询、质量咨询三类）上，多轮信息补全成功率不低于 80%（关键条件缺失时经追问取得必要信息的比例）、任务完成率不低于 75%，并报告平均澄清轮数不超过 3 轮；⑦公众满意度不低于 85%——采用 5 级李克特量表，试点阶段有效样本不少于 100 人；⑧系统在 8 核 16GB 单机部署下支持不少于 20 路并发查询，回答首字延迟 P95 不超过 5 秒。</w:t>
            </w:r>
          </w:p>
        </w:tc>
      </w:tr>
      <w:tr w14:paraId="4EC8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D29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三、拟采用的技术路线</w:t>
            </w:r>
          </w:p>
        </w:tc>
      </w:tr>
      <w:tr w14:paraId="74AF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本课题采用“知识治理 → 语义转换 → 适用性判断与检索 → 交互生成 → 评测交付”的主链路，配合“已完成 — 待研究 — 待验证”的递进策略：前期工程原型已打通“解析—检索—生成—拒答—评测”的事实链路，本课题在此基础上向公众服务能力延伸，重点补足知识适用性、语义转换与多轮交互三个环节。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实施上按“语料与需求建设 → 核心方法研发 → 系统集成与试点 → 总结固化”四阶段递进推进：语料与需求阶段完成公众需求调研、语料扩容与元数据规范制定，形成高频问题清单（如“补贴怎么领”“和现浇比贵多少”“旧房能不能做”）；核心方法阶段完成适用性过滤、语义映射与证据判据的算法研发与消融验证；系统集成阶段完成多轮交互智能体、服务化封装与试点部署；总结固化阶段凝练方法体系，形成研究报告、论文与验收材料。各阶段之间保持数据与结论的双向传递：评测发现的问题回流至语料与算法迭代，试点用户反馈回流至映射词表与澄清策略，形成闭环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①知识治理层：装配式内装领域语料（标准、导则、政策、图集、案例、论文）经格式判据识别章节树、切块、多维元数据标注后入库，入库即携带领域类目、章节层级路径与结构化适用范围。以 SQLite 作为唯一事实来源（项目 / 文档 / 片段 / 元数据 / 向量归档），向量库作为可重建索引（numpy / Milvus 可切换），实现“先写索引、再切事实”的原子写入与失败回滚，保证数据一致性与可重建性。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②语义转换层：用户提问先经意图分类与条件抽取，识别地域、年份、房屋类型、改造部位等约束；关键条件缺失时转入主动澄清；条件齐备后经领域术语映射为规范查询表达，交检索层。该层决定后续召回与适用性判断的输入质量，是整个链路中面向“生活语言”的关键环节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③检索与适用性判断层：查询经多通道串行检索（向量＋BM25）与融合重排后取前 k 条候选，先按元数据做适用性过滤（地方性文件是否覆盖该行政区域、文件是否现行有效、类型与适用对象是否匹配），再做证据充分性判断。地域过滤以文件明确的适用范围为准，不作无条件层级推断；国家标准按其自身适用范围与实施状态判断，不因提问地点被排除。不满足则按规则拒答并给出可理解的原因（如“本库暂未收录台州地区的装配式内装政策”“该文件已于 2024 年被替代”），满足则连同证据一并送入生成层；处于“相关但不足”状态时转入提示与追问分支。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④交互生成层：结合多轮对话上下文编排提示，由大模型生成带片段级引用（文档、章节、条款）的答案；按“公众 / 专业”档位做通俗化改写并执行不失真校验；必要时调用政策查询、条件匹配等工具，或在超能力边界时引导转人工。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⑤评测与交付层：以离线评测脚本对召回、重排、适用性过滤、拒答、语义转换分项量化，报告头固化坐标系（模型 / 维度 / 切块参数 / 召回深度 / 融合方式 / 语料快照 / 源码指纹），关键缓存带身份校验，换语料、换模型、换服务商、换提示词自动拒绝复用；服务端完成接口封装、权限隔离与部署交付。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已完成的工程基础：系统主体已实现并通过 660 项离线自动化测试；文档解析判据与扫描件 OCR 通道可用；混合检索与融合重排已实测（基础 31 题 Recall 由纯向量 0.806 提升至 0.871，口语 50 题由 0.460 提升至 0.640、引入术语映射后达 0.720）；规则型证据闸门已接入生产链路，在 122 道库内对照题上误拒 0 题；引用生成、Web 问答界面、管理端与开放接口均已可运行；可复现评测与缓存身份校验机制已落地。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待研究的关键内容：①多维元数据规范及其在适用性过滤中的作用——本课题的核心增量；②口语意图分类与条件抽取，以及由此驱动的主动澄清策略；③“近主题无依据”的混合判据与置信度校准，以及拦截率—误拒率的成对评价规范；④多轮交互框架与公众效果评价方法（理解度前后测、任务完成率、满意度量表）。上述内容在现有系统中均未实现，是本课题的实质研究工作量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风险分析与对策：一是语料扩容与元数据标注工作量大——对策：先完成核心文件（约 40 份）的高质量标注并固化规范，再规模复制，以标注一致性检验控制质量；二是大模型服务依赖外部供给——对策：适配层支持多服务商切换（已实测同一模型在不同服务商行为存在差异并完成适配），关键参数可配置、可回退；三是适用性判断与证据充分性存在误判与非确定性——对策：地域覆盖以文件明确范围为准并保留例外标注，政策类文件由实施、截止、废止状态字段驱动过滤，判官结论经多次采样多数表决后仅作参考信号、不参与阻断；四是数据安全与个人信息保护——对策：知识库与检索在本机与内网运行，调用外部模型服务时对发送内容做最小化与脱敏（去除姓名、联系方式、详细地址等可识别信息），涉密或不宜外发资料采用隔离存储或改用私有化模型部署，对话日志按最小必要原则留存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前期基础：系统原型已稳定运行并通过 660 项离线自动化测试；已建成覆盖国家—省—市三级、五个类目的装配式内装领域语料库并完成向量化入库（75 份文档、2560 个片段）；已构建基础、口语、库外拒答、库内对照等多套标注题集与可复现评测流程；Web 问答界面、管理端与开放接口可运行。依托单位具备装配式内装工程实践与政策文件获取渠道，可保障语料持续扩充；项目实施期内拟与社区、物业服务或装配式内装企业建立试点合作，完成公众需求调研与试点应用。</w:t>
            </w:r>
          </w:p>
        </w:tc>
      </w:tr>
      <w:tr w14:paraId="4B24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B8C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四、拟完成的</w:t>
            </w:r>
            <w:r>
              <w:rPr>
                <w:rFonts w:hint="eastAsia" w:eastAsia="黑体"/>
                <w:sz w:val="28"/>
                <w:szCs w:val="28"/>
              </w:rPr>
              <w:t>研究成果</w:t>
            </w:r>
          </w:p>
        </w:tc>
      </w:tr>
      <w:tr w14:paraId="58FC3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19A54D">
            <w:pPr>
              <w:keepNext w:val="0"/>
              <w:keepLines w:val="0"/>
              <w:suppressLineNumbers w:val="0"/>
              <w:snapToGrid w:val="0"/>
              <w:spacing w:before="158" w:beforeLines="50" w:beforeAutospacing="0" w:after="158" w:afterLines="50" w:afterAutospacing="0"/>
              <w:ind w:left="0" w:right="0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装配式内装智能问答系统公众服务试点应用实例</w:t>
            </w:r>
          </w:p>
          <w:p w14:paraId="4A845B25">
            <w:pPr>
              <w:keepNext w:val="0"/>
              <w:keepLines w:val="0"/>
              <w:suppressLineNumbers w:val="0"/>
              <w:snapToGrid w:val="0"/>
              <w:spacing w:before="158" w:beforeLines="50" w:beforeAutospacing="0" w:after="158" w:afterLines="50" w:afterAutospacing="0"/>
              <w:ind w:left="0" w:right="0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52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已录用的核心期刊或</w:t>
            </w:r>
            <w:r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  <w:t>SCI、EI、ISTP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论文   </w:t>
            </w:r>
          </w:p>
          <w:p w14:paraId="3585E2B1">
            <w:pPr>
              <w:keepNext w:val="0"/>
              <w:keepLines w:val="0"/>
              <w:suppressLineNumbers w:val="0"/>
              <w:snapToGrid w:val="0"/>
              <w:spacing w:before="158" w:beforeLines="50" w:beforeAutospacing="0" w:after="158" w:afterLines="50" w:afterAutospacing="0"/>
              <w:ind w:left="0" w:right="0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52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发明专利或实用新型专利      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省级工法 </w:t>
            </w:r>
          </w:p>
          <w:p w14:paraId="300036AC">
            <w:pPr>
              <w:keepNext w:val="0"/>
              <w:keepLines w:val="0"/>
              <w:suppressLineNumbers w:val="0"/>
              <w:snapToGrid w:val="0"/>
              <w:spacing w:before="158" w:beforeLines="50" w:beforeAutospacing="0" w:after="158" w:afterLines="50" w:afterAutospacing="0"/>
              <w:ind w:left="0" w:right="0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通过审查的国家标准、行业标准、地方标准，或正式出版的省级及以上团体标准                         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省级及以上标准设计图集       </w:t>
            </w:r>
          </w:p>
          <w:p w14:paraId="6E275D6B">
            <w:pPr>
              <w:keepNext w:val="0"/>
              <w:keepLines w:val="0"/>
              <w:suppressLineNumbers w:val="0"/>
              <w:snapToGrid w:val="0"/>
              <w:spacing w:before="158" w:beforeLines="50" w:beforeAutospacing="0" w:after="158" w:afterLines="50" w:afterAutospacing="0"/>
              <w:ind w:left="0" w:right="0"/>
              <w:rPr>
                <w:rFonts w:hint="default" w:ascii="仿宋_GB2312" w:hAnsi="宋体" w:eastAsia="仿宋_GB2312"/>
                <w:bCs/>
                <w:sz w:val="28"/>
                <w:szCs w:val="28"/>
                <w:u w:val="single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正式出版的著作、教材、导则     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sym w:font="Wingdings 2" w:char="0052"/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 xml:space="preserve">其他省级以上奖项和荣誉                     </w:t>
            </w:r>
          </w:p>
        </w:tc>
      </w:tr>
      <w:tr w14:paraId="6F45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BA7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五、</w:t>
            </w:r>
            <w:r>
              <w:rPr>
                <w:rFonts w:hint="eastAsia" w:eastAsia="黑体"/>
                <w:bCs/>
                <w:sz w:val="28"/>
                <w:szCs w:val="28"/>
              </w:rPr>
              <w:t>拟达到的主要经济指标和社会效益</w:t>
            </w:r>
          </w:p>
        </w:tc>
      </w:tr>
      <w:tr w14:paraId="50C3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5.1 经济效益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系统部署后可减少企业在规范查阅、政策解答、客户咨询上的人工投入，缩短技术交底与方案编制的前置调研时间，并降低因“查不到、记不准”导致的返工与沟通成本。经济效益按可核算口径测算：节约人工成本＝年度同类咨询量×单次平均节省工时×人工综合小时成本。目前尚无落实的合作单位，年度咨询量与单次节省工时均为预估参数：按一个中等规模装配式内装企业年同类咨询 2 万次、单次平均节省 0.25 小时、人工综合成本 60 元/小时测算，年毛节约约 30 万元；试点阶段以合作单位的客服工单、标准查询记录与工时记录校正上述参数。净效益须扣除人工复核成本、系统运维与模型调用费用，且只对“系统承接、无需逐条人工复核”的那部分咨询计入。据此，年净节约 20 万元为试点阶段的预期值而非已实现收益，测算依据与核算范围在验收报告中一并说明。需要说明的是，居民因准确理解政策而获得的补贴金额不计入本项目经济效益，以避免效益归属争议。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both"/>
              <w:rPr>
                <w:rFonts w:hint="eastAsia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default" w:ascii="Calibri" w:hAnsi="Calibri" w:eastAsia="仿宋" w:cs="Times New Roman"/>
                <w:kern w:val="2"/>
                <w:sz w:val="28"/>
                <w:szCs w:val="28"/>
                <w:lang w:val="en-US" w:eastAsia="zh-CN" w:bidi="ar"/>
              </w:rPr>
              <w:t>5.2 社会效益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leftChars="0" w:right="0" w:firstLine="560" w:firstLineChars="200"/>
              <w:jc w:val="both"/>
              <w:rPr>
                <w:rFonts w:hint="default" w:ascii="Calibri" w:hAnsi="Calibri" w:eastAsia="仿宋" w:cs="Times New Roman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2"/>
                <w:sz w:val="28"/>
                <w:szCs w:val="28"/>
                <w:lang w:val="en-US" w:eastAsia="zh-CN" w:bidi="ar"/>
              </w:rPr>
              <w:t>一是提升装配式内装的社会认知度与接受度。系统把权威政策与标准转化为“随时问、听得懂、有出处”的交互式服务，打通政策落地的“最后一公里”，直接服务装配化装修试点推广与建筑业绿色转型；对“传统观念障碍”这一最强抵触因素提供低成本的化解手段。二是形成“答必有据、无据拒答”的民生科普范式。面向公众的问答明确区分“没有依据”与“依据不适用”，从机制上抑制大模型编造条文，避免错误信息误导群众装修选择与补贴申领；该范式对政务公开、社保医保等同类公众服务场景具有参考价值。三是形成可复制的知识服务方法体系。“多源知识治理＋语义双向转换＋时空适用性判断＋可复现评测”四环闭合的方法，可迁移至企业标准库、图集库及其他强规范、强时效领域的公众知识服务。系统运行中沉淀的高频问题与实际咨询分布，可为政策宣传的重点选择与公众需求分析提供参考依据。</w:t>
            </w:r>
          </w:p>
        </w:tc>
      </w:tr>
      <w:tr w14:paraId="10DB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4B5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bCs/>
                <w:spacing w:val="-4"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六、申报单位</w:t>
            </w:r>
          </w:p>
        </w:tc>
      </w:tr>
      <w:tr w14:paraId="75AF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119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第一</w:t>
            </w:r>
          </w:p>
          <w:p w14:paraId="27E531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申报</w:t>
            </w:r>
          </w:p>
          <w:p w14:paraId="06F2CB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单位</w:t>
            </w:r>
          </w:p>
        </w:tc>
        <w:tc>
          <w:tcPr>
            <w:tcW w:w="78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C33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单位名称</w:t>
            </w:r>
          </w:p>
        </w:tc>
        <w:tc>
          <w:tcPr>
            <w:tcW w:w="3640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7FF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</w:rPr>
              <w:t xml:space="preserve">【申报单位名称】</w:t>
            </w:r>
          </w:p>
        </w:tc>
      </w:tr>
      <w:tr w14:paraId="0B66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BC4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8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24F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所 在 地</w:t>
            </w:r>
          </w:p>
        </w:tc>
        <w:tc>
          <w:tcPr>
            <w:tcW w:w="3640" w:type="pct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601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 xml:space="preserve">【浙江省·地市】</w:t>
            </w:r>
          </w:p>
        </w:tc>
      </w:tr>
      <w:tr w14:paraId="290C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AAAD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8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B12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详细地址</w:t>
            </w:r>
          </w:p>
        </w:tc>
        <w:tc>
          <w:tcPr>
            <w:tcW w:w="179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672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  <w:szCs w:val="24"/>
                <w:lang w:val="en-US" w:eastAsia="zh-CN"/>
              </w:rPr>
              <w:t xml:space="preserve">【详细地址】</w:t>
            </w: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59B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邮政编码</w:t>
            </w: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749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>322100</w:t>
            </w:r>
          </w:p>
        </w:tc>
      </w:tr>
      <w:tr w14:paraId="5C35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E90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8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EC9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联 系 人</w:t>
            </w:r>
          </w:p>
        </w:tc>
        <w:tc>
          <w:tcPr>
            <w:tcW w:w="179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EC80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 xml:space="preserve">【联系人】</w:t>
            </w: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BF2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联系电话</w:t>
            </w: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878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18758216799</w:t>
            </w:r>
          </w:p>
        </w:tc>
      </w:tr>
      <w:tr w14:paraId="49B5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92A8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8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D51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传    真</w:t>
            </w:r>
          </w:p>
        </w:tc>
        <w:tc>
          <w:tcPr>
            <w:tcW w:w="179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AD0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 xml:space="preserve">【传真】</w:t>
            </w: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70B9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电子邮箱</w:t>
            </w: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A4F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0F42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972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协作</w:t>
            </w:r>
          </w:p>
          <w:p w14:paraId="7D4782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单位</w:t>
            </w:r>
          </w:p>
        </w:tc>
        <w:tc>
          <w:tcPr>
            <w:tcW w:w="258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B037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单位名称</w:t>
            </w: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5F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负责人</w:t>
            </w: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5B5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职责</w:t>
            </w:r>
          </w:p>
        </w:tc>
      </w:tr>
      <w:tr w14:paraId="32900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29D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1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68E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8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ADC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仿宋_GB2312" w:hAnsi="宋体" w:eastAsia="仿宋_GB2312"/>
                <w:bCs/>
                <w:sz w:val="32"/>
                <w:szCs w:val="32"/>
                <w:highlight w:val="yellow"/>
              </w:rPr>
              <w:t xml:space="preserve">【协作单位一】</w:t>
            </w:r>
          </w:p>
        </w:tc>
        <w:tc>
          <w:tcPr>
            <w:tcW w:w="764" w:type="pct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99A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3CF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268E0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5D85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1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71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38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2B4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仿宋" w:hAnsi="仿宋" w:eastAsia="仿宋" w:cs="仿宋"/>
                <w:bCs/>
                <w:sz w:val="32"/>
                <w:szCs w:val="32"/>
                <w:highlight w:val="yellow"/>
                <w:lang w:val="en-US" w:eastAsia="zh-CN"/>
              </w:rPr>
              <w:t xml:space="preserve">【协作单位二】</w:t>
            </w: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DEF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3B9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1B9F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20B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1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8DB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8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CB2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仿宋_GB2312" w:hAnsi="宋体" w:eastAsia="仿宋_GB2312"/>
                <w:bCs/>
                <w:sz w:val="32"/>
                <w:szCs w:val="32"/>
                <w:highlight w:val="yellow"/>
                <w:lang w:val="en-US" w:eastAsia="zh-CN"/>
              </w:rPr>
              <w:t xml:space="preserve"/>
            </w: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9AC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E5A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3723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23A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1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43D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389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45F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7A89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906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6E4E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1EA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  <w:r>
              <w:rPr>
                <w:rFonts w:hint="eastAsia" w:eastAsia="黑体"/>
                <w:sz w:val="30"/>
              </w:rPr>
              <w:t>七、项目负责人及项目组成员</w:t>
            </w:r>
          </w:p>
        </w:tc>
      </w:tr>
      <w:tr w14:paraId="79B0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07E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项</w:t>
            </w:r>
          </w:p>
          <w:p w14:paraId="771601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目</w:t>
            </w:r>
          </w:p>
          <w:p w14:paraId="0B1E91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负</w:t>
            </w:r>
          </w:p>
          <w:p w14:paraId="286E44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责</w:t>
            </w:r>
          </w:p>
          <w:p w14:paraId="66A94E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人</w:t>
            </w: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2AC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姓  名</w:t>
            </w:r>
          </w:p>
        </w:tc>
        <w:tc>
          <w:tcPr>
            <w:tcW w:w="307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414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【待填】</w:t>
            </w:r>
          </w:p>
        </w:tc>
      </w:tr>
      <w:tr w14:paraId="2F1E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C54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72C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身份证号码</w:t>
            </w:r>
          </w:p>
        </w:tc>
        <w:tc>
          <w:tcPr>
            <w:tcW w:w="307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BBF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00A0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526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BDD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联系电话</w:t>
            </w:r>
          </w:p>
        </w:tc>
        <w:tc>
          <w:tcPr>
            <w:tcW w:w="307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99E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0574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7B46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B9C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</w:rPr>
              <w:t>E-mail</w:t>
            </w:r>
          </w:p>
        </w:tc>
        <w:tc>
          <w:tcPr>
            <w:tcW w:w="307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421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70BE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5BF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DB6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学  历</w:t>
            </w:r>
          </w:p>
        </w:tc>
        <w:tc>
          <w:tcPr>
            <w:tcW w:w="133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645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53F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学位</w:t>
            </w: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711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34A6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A59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86B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专业技术职称</w:t>
            </w:r>
          </w:p>
        </w:tc>
        <w:tc>
          <w:tcPr>
            <w:tcW w:w="133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7D7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24"/>
              </w:rPr>
            </w:pPr>
          </w:p>
        </w:tc>
        <w:tc>
          <w:tcPr>
            <w:tcW w:w="6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844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专业</w:t>
            </w:r>
          </w:p>
        </w:tc>
        <w:tc>
          <w:tcPr>
            <w:tcW w:w="10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C9D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0A1A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425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0B7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在本项目中的分工</w:t>
            </w:r>
          </w:p>
        </w:tc>
        <w:tc>
          <w:tcPr>
            <w:tcW w:w="307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795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</w:p>
        </w:tc>
      </w:tr>
      <w:tr w14:paraId="32D9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F2A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1346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731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工作单位</w:t>
            </w:r>
          </w:p>
        </w:tc>
        <w:tc>
          <w:tcPr>
            <w:tcW w:w="3076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BCD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0FEF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14A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项</w:t>
            </w:r>
          </w:p>
          <w:p w14:paraId="192F37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目</w:t>
            </w:r>
          </w:p>
          <w:p w14:paraId="7BD75C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组</w:t>
            </w:r>
          </w:p>
          <w:p w14:paraId="3D5064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成</w:t>
            </w:r>
          </w:p>
          <w:p w14:paraId="7B52BD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员</w:t>
            </w: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AEB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姓名</w:t>
            </w: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EEC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出生</w:t>
            </w:r>
          </w:p>
          <w:p w14:paraId="3CA025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年月</w:t>
            </w: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DD1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专业技术职称</w:t>
            </w: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8B3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专业</w:t>
            </w: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174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工作单位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685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在本项目中分工</w:t>
            </w:r>
          </w:p>
        </w:tc>
      </w:tr>
      <w:tr w14:paraId="41781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98D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001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  <w:lang w:val="en-US" w:eastAsia="zh-CN"/>
              </w:rPr>
              <w:t xml:space="preserve"/>
            </w: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3E5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8E3B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4CB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30F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ECB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47C2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1FD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6E9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  <w:lang w:val="en-US" w:eastAsia="zh-CN"/>
              </w:rPr>
              <w:t xml:space="preserve"/>
            </w: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FF8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574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90A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AA2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7924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038E6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4BA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2B9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456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1FB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EEA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346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E5B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3D3C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2CA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8F9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2C7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0826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770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22D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06C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57F0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CEC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053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794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818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445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9A5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60B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59EE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66A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806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393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511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C416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C64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2AB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3C5C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1BD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CAA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100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590B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5C3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91B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17E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188F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FD0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E07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E8EE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DD0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16E1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1C9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82C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734CB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8CB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9C6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2F8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09BA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E23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AF5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961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6ABF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A8E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4"/>
              </w:rPr>
            </w:pPr>
          </w:p>
        </w:tc>
        <w:tc>
          <w:tcPr>
            <w:tcW w:w="72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165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61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30B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260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4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B30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1243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A7C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0C7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</w:p>
        </w:tc>
      </w:tr>
      <w:tr w14:paraId="4931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5C2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eastAsia="宋体"/>
                <w:sz w:val="24"/>
              </w:rPr>
            </w:pPr>
            <w:r>
              <w:rPr>
                <w:rFonts w:hint="eastAsia" w:ascii="黑体" w:hAnsi="黑体" w:eastAsia="黑体" w:cs="黑体"/>
                <w:sz w:val="30"/>
              </w:rPr>
              <w:t>八、计划进度目标（</w:t>
            </w:r>
            <w:r>
              <w:rPr>
                <w:rFonts w:hint="default" w:ascii="Times New Roman" w:hAnsi="Times New Roman" w:eastAsia="黑体" w:cs="Times New Roman"/>
                <w:sz w:val="30"/>
              </w:rPr>
              <w:t>2</w:t>
            </w:r>
            <w:r>
              <w:rPr>
                <w:rFonts w:hint="eastAsia" w:ascii="黑体" w:hAnsi="黑体" w:eastAsia="黑体" w:cs="黑体"/>
                <w:sz w:val="30"/>
              </w:rPr>
              <w:t>年以内）</w:t>
            </w:r>
          </w:p>
        </w:tc>
      </w:tr>
      <w:tr w14:paraId="108D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148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DBC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起始年月</w:t>
            </w:r>
          </w:p>
        </w:tc>
        <w:tc>
          <w:tcPr>
            <w:tcW w:w="3511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23B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进度目标要求</w:t>
            </w:r>
          </w:p>
        </w:tc>
      </w:tr>
      <w:tr w14:paraId="3E89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706" w:hRule="atLeast"/>
        </w:trPr>
        <w:tc>
          <w:tcPr>
            <w:tcW w:w="148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22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.10-202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.2</w:t>
            </w:r>
          </w:p>
        </w:tc>
        <w:tc>
          <w:tcPr>
            <w:tcW w:w="3511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48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完成公众需求调研（居民问卷 100~150 份、社区与从业者访谈 15~20 人次）与高频问题清单；完成装配式内装语料扩容与多维元数据规范初稿，核心 40 份文件完成结构化标注；系统既有检索、拒答、术语映射链路进一步工程化。阶段成果：公众需求调研报告、知识库 V1.0（含元数据规范 v1）。</w:t>
            </w:r>
          </w:p>
        </w:tc>
      </w:tr>
      <w:tr w14:paraId="4B1F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665" w:hRule="atLeast"/>
        </w:trPr>
        <w:tc>
          <w:tcPr>
            <w:tcW w:w="148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D4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.3-202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.9</w:t>
            </w:r>
          </w:p>
        </w:tc>
        <w:tc>
          <w:tcPr>
            <w:tcW w:w="3511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C7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完成口语意图分类与条件抽取、适用性过滤（地域/时效/文件类型）的算法研发与消融验证；完成规则型证据闸门五类库外题的分项评测，形成拦截率—误拒率成对报告；扩充口语与独立复核题集。阶段成果：口语题集 Recall@8 达标、证据闸门评测报告、系统 V2.0。</w:t>
            </w:r>
          </w:p>
        </w:tc>
      </w:tr>
      <w:tr w14:paraId="668B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696" w:hRule="atLeast"/>
        </w:trPr>
        <w:tc>
          <w:tcPr>
            <w:tcW w:w="148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D7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.10-202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.6</w:t>
            </w:r>
          </w:p>
        </w:tc>
        <w:tc>
          <w:tcPr>
            <w:tcW w:w="3511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60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完成多轮交互智能体（主动澄清、条件补全、任务引导、工具调用）研发；部署试点应用（Web 界面＋管理端），完成不少于 100 人次用户测试与理解度前后测；论文投稿、软件著作权申请。阶段成果：智能体原型、试点运行与用户评价报告、论文录用、软著受理。</w:t>
            </w:r>
          </w:p>
        </w:tc>
      </w:tr>
      <w:tr w14:paraId="7CAA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881" w:hRule="atLeast"/>
        </w:trPr>
        <w:tc>
          <w:tcPr>
            <w:tcW w:w="1488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F9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.7-202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.</w:t>
            </w:r>
            <w:r>
              <w:rPr>
                <w:rFonts w:hint="eastAsia" w:ascii="仿宋" w:hAnsi="仿宋" w:cs="仿宋"/>
                <w:b w:val="0"/>
                <w:bCs w:val="0"/>
                <w:sz w:val="24"/>
                <w:highlight w:val="none"/>
                <w:shd w:val="clear"/>
                <w:lang w:val="en-US" w:eastAsia="zh-CN"/>
              </w:rPr>
              <w:t>9</w:t>
            </w:r>
          </w:p>
        </w:tc>
        <w:tc>
          <w:tcPr>
            <w:tcW w:w="3511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AB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汇总整理研究成果，完成研究报告、成果总结与验收材料，开展试点成效评估与成果推广。阶段成果：研究报告、验收报告、成果鉴定材料。</w:t>
            </w:r>
          </w:p>
        </w:tc>
      </w:tr>
      <w:tr w14:paraId="26BE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B54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 w:eastAsia="黑体"/>
                <w:sz w:val="30"/>
              </w:rPr>
              <w:t>九、经费及来源</w:t>
            </w:r>
          </w:p>
        </w:tc>
      </w:tr>
      <w:tr w14:paraId="1E88A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451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宋体" w:eastAsia="仿宋_GB2312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Cs/>
                <w:sz w:val="28"/>
                <w:szCs w:val="28"/>
              </w:rPr>
              <w:t>科研经费</w:t>
            </w:r>
            <w:r>
              <w:rPr>
                <w:rFonts w:hint="eastAsia" w:ascii="仿宋_GB2312" w:hAnsi="宋体" w:eastAsia="仿宋_GB2312"/>
                <w:bCs/>
                <w:sz w:val="28"/>
                <w:szCs w:val="28"/>
                <w:lang w:val="en-US" w:eastAsia="zh-CN"/>
              </w:rPr>
              <w:t>70万，自筹。</w:t>
            </w:r>
          </w:p>
          <w:p w14:paraId="6CA3F73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</w:p>
          <w:p w14:paraId="28EB9E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</w:p>
          <w:p w14:paraId="2D6681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</w:p>
          <w:p w14:paraId="71EACD4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</w:p>
          <w:p w14:paraId="26A7F8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</w:p>
          <w:p w14:paraId="4D8EA3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eastAsia" w:eastAsia="黑体"/>
                <w:sz w:val="30"/>
              </w:rPr>
            </w:pPr>
          </w:p>
          <w:p w14:paraId="35B9C87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eastAsia" w:eastAsia="黑体"/>
                <w:sz w:val="30"/>
              </w:rPr>
            </w:pPr>
          </w:p>
          <w:p w14:paraId="528AAA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</w:p>
        </w:tc>
      </w:tr>
      <w:tr w14:paraId="1A1E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D20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  <w:r>
              <w:rPr>
                <w:rFonts w:hint="eastAsia" w:eastAsia="黑体"/>
                <w:sz w:val="30"/>
              </w:rPr>
              <w:t>十、推荐单位意见</w:t>
            </w:r>
          </w:p>
        </w:tc>
      </w:tr>
      <w:tr w14:paraId="3251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0" w:hRule="atLeast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5E6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</w:p>
          <w:p w14:paraId="4543D8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</w:p>
          <w:p w14:paraId="12D7E5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</w:p>
          <w:p w14:paraId="07F06E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</w:p>
          <w:p w14:paraId="0D268F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</w:p>
          <w:p w14:paraId="3A22A9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</w:p>
          <w:p w14:paraId="1AFC78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宋体" w:eastAsia="仿宋_GB2312"/>
                <w:bCs/>
                <w:sz w:val="32"/>
                <w:szCs w:val="32"/>
              </w:rPr>
            </w:pPr>
            <w:r>
              <w:rPr>
                <w:rFonts w:hint="eastAsia" w:ascii="仿宋_GB2312" w:hAnsi="宋体" w:eastAsia="仿宋_GB2312"/>
                <w:bCs/>
                <w:sz w:val="32"/>
                <w:szCs w:val="32"/>
              </w:rPr>
              <w:t xml:space="preserve">                        （盖章）</w:t>
            </w:r>
          </w:p>
          <w:p w14:paraId="64ED06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rPr>
                <w:rFonts w:hint="default" w:eastAsia="黑体"/>
                <w:sz w:val="30"/>
              </w:rPr>
            </w:pPr>
            <w:r>
              <w:rPr>
                <w:rFonts w:hint="eastAsia" w:ascii="仿宋_GB2312" w:hAnsi="宋体" w:eastAsia="仿宋_GB2312"/>
                <w:bCs/>
                <w:sz w:val="32"/>
                <w:szCs w:val="32"/>
              </w:rPr>
              <w:t xml:space="preserve">                                         年    月    日</w:t>
            </w:r>
          </w:p>
        </w:tc>
      </w:tr>
    </w:tbl>
    <w:p w14:paraId="2339E04A">
      <w:pPr>
        <w:snapToGrid w:val="0"/>
        <w:rPr>
          <w:rFonts w:ascii="仿宋" w:hAnsi="仿宋" w:eastAsia="仿宋" w:cs="仿宋"/>
          <w:sz w:val="24"/>
        </w:rPr>
      </w:pPr>
    </w:p>
    <w:sectPr>
      <w:footerReference r:id="rId7" w:type="first"/>
      <w:footerReference r:id="rId6" w:type="default"/>
      <w:pgSz w:w="12472" w:h="15874"/>
      <w:pgMar w:top="1644" w:right="1644" w:bottom="1644" w:left="1644" w:header="851" w:footer="992" w:gutter="0"/>
      <w:pgNumType w:start="1"/>
      <w:cols w:space="0" w:num="1"/>
      <w:docGrid w:type="lines" w:linePitch="31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une丶" w:date="2026-10-23T11:02:08Z" w:initials="">
    <w:p w14:paraId="775EB7DB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由设计单位进行研究方向及内容的确定及编写</w:t>
      </w:r>
    </w:p>
  </w:comment>
  <w:comment w:id="1" w:author="June丶" w:date="2026-10-23T11:03:00Z" w:initials="">
    <w:p w14:paraId="5C3EED6A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如有相关明装机电或SI体系相关研究可进行补充。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5EB7DB" w15:done="0"/>
  <w15:commentEx w15:paraId="5C3EED6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A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073B7BD-C434-4FB7-9006-9B81E65E76E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CA79A4E0-D49E-4736-A0FF-2075127EBFE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FE386FE-74A4-4615-B7FA-7E360846C0C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47BE33A8-5A2E-4908-9B29-C3E4552A24AE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3E372BB9-25CB-4841-815C-930BFBF5859E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4528D6F6-B685-43B8-9A50-CA0B693BDD59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7" w:fontKey="{2DF5DB5B-AB1E-4007-A66A-3066CA53A3E6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WPSEMBED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98E6F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8C6C8">
                          <w:pPr>
                            <w:pStyle w:val="8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38C6C8">
                    <w:pPr>
                      <w:pStyle w:val="8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5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69765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15DC4D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15DC4D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C4DFD">
    <w:pPr>
      <w:pStyle w:val="9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F3837"/>
    <w:multiLevelType w:val="multilevel"/>
    <w:tmpl w:val="B7EF3837"/>
    <w:lvl w:ilvl="0" w:tentative="0">
      <w:start w:val="3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"/>
      <w:lvlJc w:val="left"/>
      <w:pPr>
        <w:tabs>
          <w:tab w:val="left" w:pos="1051"/>
        </w:tabs>
        <w:ind w:left="1051" w:hanging="851"/>
      </w:pPr>
      <w:rPr>
        <w:rFonts w:hint="eastAsia" w:ascii="宋体" w:hAnsi="宋体" w:eastAsia="宋体"/>
        <w:b/>
        <w:i w:val="0"/>
        <w:spacing w:val="0"/>
        <w:sz w:val="28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051"/>
        </w:tabs>
        <w:ind w:left="1051" w:hanging="851"/>
      </w:pPr>
      <w:rPr>
        <w:rFonts w:hint="eastAsia" w:ascii="宋体" w:hAnsi="宋体" w:eastAsia="宋体"/>
        <w:b/>
        <w:i w:val="0"/>
        <w:sz w:val="28"/>
      </w:rPr>
    </w:lvl>
    <w:lvl w:ilvl="2" w:tentative="0">
      <w:start w:val="1"/>
      <w:numFmt w:val="decimal"/>
      <w:lvlText w:val="%1.%2.%3"/>
      <w:lvlJc w:val="left"/>
      <w:pPr>
        <w:tabs>
          <w:tab w:val="left" w:pos="1051"/>
        </w:tabs>
        <w:ind w:left="1051" w:hanging="851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tabs>
          <w:tab w:val="left" w:pos="1051"/>
        </w:tabs>
        <w:ind w:left="1051" w:hanging="851"/>
      </w:pPr>
      <w:rPr>
        <w:rFonts w:hint="default" w:ascii="宋体" w:hAnsi="宋体" w:eastAsia="宋体"/>
        <w:b w:val="0"/>
        <w:i w:val="0"/>
        <w:sz w:val="24"/>
      </w:rPr>
    </w:lvl>
    <w:lvl w:ilvl="4" w:tentative="0">
      <w:start w:val="1"/>
      <w:numFmt w:val="lowerLetter"/>
      <w:lvlText w:val="%5)"/>
      <w:lvlJc w:val="left"/>
      <w:pPr>
        <w:tabs>
          <w:tab w:val="left" w:pos="1051"/>
        </w:tabs>
        <w:ind w:left="1051" w:hanging="567"/>
      </w:pPr>
      <w:rPr>
        <w:rFonts w:hint="default" w:ascii="Arial" w:hAnsi="Arial" w:eastAsia="宋体"/>
        <w:b w:val="0"/>
        <w:i w:val="0"/>
        <w:sz w:val="24"/>
      </w:rPr>
    </w:lvl>
    <w:lvl w:ilvl="5" w:tentative="0">
      <w:start w:val="1"/>
      <w:numFmt w:val="lowerLetter"/>
      <w:lvlText w:val="%6."/>
      <w:lvlJc w:val="left"/>
      <w:pPr>
        <w:tabs>
          <w:tab w:val="left" w:pos="597"/>
        </w:tabs>
        <w:ind w:left="597" w:hanging="465"/>
      </w:pPr>
      <w:rPr>
        <w:rFonts w:hint="default" w:ascii="Arial" w:hAnsi="Arial" w:eastAsia="宋体"/>
        <w:b w:val="0"/>
        <w:i w:val="0"/>
        <w:sz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1073"/>
        </w:tabs>
        <w:ind w:left="1073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073"/>
        </w:tabs>
        <w:ind w:left="1073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433"/>
        </w:tabs>
        <w:ind w:left="1433" w:hanging="1800"/>
      </w:pPr>
      <w:rPr>
        <w:rFonts w:hint="default"/>
      </w:rPr>
    </w:lvl>
  </w:abstractNum>
  <w:abstractNum w:abstractNumId="2">
    <w:nsid w:val="24D92CCF"/>
    <w:multiLevelType w:val="singleLevel"/>
    <w:tmpl w:val="24D92CC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5328D86"/>
    <w:multiLevelType w:val="singleLevel"/>
    <w:tmpl w:val="65328D8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une丶">
    <w15:presenceInfo w15:providerId="WPS Office" w15:userId="11532653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4M2FiYTRjOTJhYjYzZGMzODliZWZmOGJjYWEyNWYifQ=="/>
  </w:docVars>
  <w:rsids>
    <w:rsidRoot w:val="0049109F"/>
    <w:rsid w:val="001D6A9D"/>
    <w:rsid w:val="00344737"/>
    <w:rsid w:val="003F13AA"/>
    <w:rsid w:val="004522C9"/>
    <w:rsid w:val="0049109F"/>
    <w:rsid w:val="00497805"/>
    <w:rsid w:val="007E6B03"/>
    <w:rsid w:val="00AC6993"/>
    <w:rsid w:val="00BC6626"/>
    <w:rsid w:val="00D30D01"/>
    <w:rsid w:val="00DA66A5"/>
    <w:rsid w:val="022B421F"/>
    <w:rsid w:val="0339636F"/>
    <w:rsid w:val="04F95805"/>
    <w:rsid w:val="089B3A29"/>
    <w:rsid w:val="0DAF5CC3"/>
    <w:rsid w:val="10F15222"/>
    <w:rsid w:val="130518A2"/>
    <w:rsid w:val="1457324A"/>
    <w:rsid w:val="1663514D"/>
    <w:rsid w:val="17FA2967"/>
    <w:rsid w:val="18855263"/>
    <w:rsid w:val="19E3037C"/>
    <w:rsid w:val="1B2F03A4"/>
    <w:rsid w:val="1C073948"/>
    <w:rsid w:val="216E7365"/>
    <w:rsid w:val="25C42305"/>
    <w:rsid w:val="2C732AA7"/>
    <w:rsid w:val="2FAB59EB"/>
    <w:rsid w:val="2FDFEBE1"/>
    <w:rsid w:val="305E0BE8"/>
    <w:rsid w:val="32996825"/>
    <w:rsid w:val="33BF71EA"/>
    <w:rsid w:val="35804B89"/>
    <w:rsid w:val="3A95564D"/>
    <w:rsid w:val="3C63721E"/>
    <w:rsid w:val="3FBFA241"/>
    <w:rsid w:val="443952E1"/>
    <w:rsid w:val="45367F69"/>
    <w:rsid w:val="4A0D4D0D"/>
    <w:rsid w:val="4B1E583A"/>
    <w:rsid w:val="4B73193A"/>
    <w:rsid w:val="4EA74993"/>
    <w:rsid w:val="53362815"/>
    <w:rsid w:val="5E1C0EE0"/>
    <w:rsid w:val="5EDE1C00"/>
    <w:rsid w:val="5F1971F9"/>
    <w:rsid w:val="65F54F1D"/>
    <w:rsid w:val="686C18B3"/>
    <w:rsid w:val="6A14073F"/>
    <w:rsid w:val="6D5B3341"/>
    <w:rsid w:val="74962F11"/>
    <w:rsid w:val="7DC20C8C"/>
    <w:rsid w:val="7E4C023B"/>
    <w:rsid w:val="7F3D0938"/>
    <w:rsid w:val="B7CF7F38"/>
    <w:rsid w:val="BEBFD784"/>
    <w:rsid w:val="F7DD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3"/>
    <w:next w:val="1"/>
    <w:qFormat/>
    <w:uiPriority w:val="10"/>
    <w:pPr>
      <w:keepNext/>
      <w:keepLines w:val="0"/>
      <w:widowControl w:val="0"/>
      <w:suppressLineNumbers w:val="0"/>
      <w:tabs>
        <w:tab w:val="left" w:pos="540"/>
      </w:tabs>
      <w:adjustRightInd w:val="0"/>
      <w:snapToGrid w:val="0"/>
      <w:spacing w:line="360" w:lineRule="auto"/>
      <w:ind w:left="284" w:hanging="284"/>
      <w:jc w:val="both"/>
      <w:outlineLvl w:val="1"/>
    </w:pPr>
    <w:rPr>
      <w:rFonts w:hint="default" w:ascii="Calibri" w:hAnsi="Calibri" w:eastAsia="仿宋" w:cs="Times New Roman"/>
      <w:snapToGrid/>
      <w:kern w:val="2"/>
      <w:sz w:val="28"/>
      <w:szCs w:val="28"/>
      <w:lang w:val="en-US" w:eastAsia="zh-CN" w:bidi="ar"/>
    </w:rPr>
  </w:style>
  <w:style w:type="paragraph" w:customStyle="1" w:styleId="3">
    <w:name w:val="1.1"/>
    <w:basedOn w:val="1"/>
    <w:qFormat/>
    <w:uiPriority w:val="0"/>
    <w:pPr>
      <w:keepNext/>
      <w:numPr>
        <w:ilvl w:val="1"/>
        <w:numId w:val="1"/>
      </w:numPr>
      <w:tabs>
        <w:tab w:val="left" w:pos="540"/>
        <w:tab w:val="clear" w:pos="1051"/>
      </w:tabs>
      <w:adjustRightInd w:val="0"/>
      <w:snapToGrid w:val="0"/>
      <w:ind w:left="0" w:firstLine="0"/>
      <w:outlineLvl w:val="1"/>
    </w:pPr>
    <w:rPr>
      <w:b/>
      <w:sz w:val="28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jc w:val="center"/>
    </w:pPr>
    <w:rPr>
      <w:rFonts w:ascii="仿宋_GB2312" w:hAnsi="宋体" w:eastAsia="仿宋_GB2312"/>
      <w:sz w:val="24"/>
    </w:rPr>
  </w:style>
  <w:style w:type="paragraph" w:styleId="7">
    <w:name w:val="Balloon Text"/>
    <w:basedOn w:val="1"/>
    <w:link w:val="16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customStyle="1" w:styleId="16">
    <w:name w:val="批注框文本 字符"/>
    <w:basedOn w:val="13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7.jpeg"/><Relationship Id="rId15" Type="http://schemas.openxmlformats.org/officeDocument/2006/relationships/image" Target="media/image6.emf"/><Relationship Id="rId14" Type="http://schemas.openxmlformats.org/officeDocument/2006/relationships/oleObject" Target="embeddings/oleObject1.bin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6210</Words>
  <Characters>8126</Characters>
  <Lines>1</Lines>
  <Paragraphs>1</Paragraphs>
  <TotalTime>31</TotalTime>
  <ScaleCrop>false</ScaleCrop>
  <LinksUpToDate>false</LinksUpToDate>
  <CharactersWithSpaces>8588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2025-09-25T08:02:00Z</dcterms:created>
  <dc:creator>Lenovo</dc:creator>
  <cp:lastModifiedBy>黄山</cp:lastModifiedBy>
  <cp:lastPrinted>2025-09-24T00:24:00Z</cp:lastPrinted>
  <dcterms:modified xsi:type="dcterms:W3CDTF">2026-10-23T06:42:43Z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1BC916417A954364B0C26872D4D13AAF_13</vt:lpwstr>
  </property>
  <property fmtid="{D5CDD505-2E9C-101B-9397-08002B2CF9AE}" pid="4" name="KSOTemplateDocerSaveRecord">
    <vt:lpwstr>eyJoZGlkIjoiYWRlMTE2OGVhY2JiYjJlMzZhMmQxNWE1Mjg4MWI5ZjIiLCJ1c2VySWQiOiI4NDAwNjU2NzUifQ==</vt:lpwstr>
  </property>
</Properties>
</file>