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3"/>
      </w:pPr>
      <w:r>
        <w:t>面向建筑结构案例的两阶段相似性检索方法</w:t>
      </w:r>
    </w:p>
    <w:p>
      <w:pPr>
        <w:jc w:val="center"/>
      </w:pPr>
      <w:r>
        <w:rPr>
          <w:b w:val="0"/>
          <w:i/>
          <w:sz w:val="24"/>
        </w:rPr>
        <w:t>A Two-stage Structural Similarity Retrieval Method for Building Structure Cases</w:t>
      </w:r>
    </w:p>
    <w:p>
      <w:pPr>
        <w:jc w:val="center"/>
      </w:pPr>
      <w:r>
        <w:rPr>
          <w:b w:val="0"/>
          <w:i w:val="0"/>
        </w:rPr>
        <w:t>钱路曦</w:t>
      </w:r>
    </w:p>
    <w:p>
      <w:pPr>
        <w:jc w:val="center"/>
      </w:pPr>
      <w:r>
        <w:rPr>
          <w:b w:val="0"/>
          <w:i w:val="0"/>
        </w:rPr>
        <w:t>（浙江绿城建筑设计有限公司，杭州 310007）</w:t>
      </w:r>
    </w:p>
    <w:p>
      <w:pPr/>
      <w:r>
        <w:rPr>
          <w:b/>
        </w:rPr>
        <w:t xml:space="preserve">[摘　要]　</w:t>
      </w:r>
      <w:r>
        <w:t>建筑结构设计过程中，设计人员常需从历史图纸中检索与当前工程结构相似的案例，作为方案比选与类比分析的参考，但传统图纸管理系统仅能依据项目名称、图纸编号等元数据检索，无法表达结构相似性，且结构图纸之间的“结构相似”长期缺少明确的量化定义与评价方法。为此，本文提出一种结构体系约束的两阶段结构相似性检索方法。该方法对DXF结构图纸进行解析，将构件划分为柱、短肢剪力墙与剪力墙，并按照“结构体系—构件权重—尺寸规模—尺寸离散—空间布局”的信息层级构建11维结构统计描述子；第一阶段采用留一检索式余弦近邻法识别图纸的结构体系类型（框架、框剪、剪力墙），第二阶段在同类型候选集内以标准化描述子与曼哈顿距离进行Top-K相似案例检索。同时构建了包含15个查询、171对0～5分盲评标注的专家结构相似性评价基准，提出并验证了“检索项目无关、评估项目感知”原则。实验结果表明：库内留一检索式结构体系识别Top-1准确率为87.7%；标准化统计描述子配合曼哈顿距离的检索性能最优（NDCG@3=0.746，Recall@3=35.6%，MeanScore@3=1.111）；在当前案例库与评价设置下，构件类型占比是最具判别力的特征组；在本研究专家样本的跨项目子集中，统计描述子（NDCG@5=0.501）明显高于以分类为目标训练的图神经网络表征（0.273）。研究成果表明，具有明确工程语义的结构描述子能够有效支持细粒度结构案例检索，可为结构设计中的历史案例复用提供量化工具。</w:t>
      </w:r>
    </w:p>
    <w:p>
      <w:pPr/>
      <w:r>
        <w:rPr>
          <w:b/>
        </w:rPr>
        <w:t xml:space="preserve">[关键词]　</w:t>
      </w:r>
      <w:r>
        <w:t>建筑结构；案例检索；结构相似性；结构体系识别；结构统计描述子；专家评价</w:t>
      </w:r>
    </w:p>
    <w:p>
      <w:pPr/>
      <w:r>
        <w:rPr>
          <w:b/>
        </w:rPr>
        <w:t xml:space="preserve">[Abstract]　</w:t>
      </w:r>
      <w:r>
        <w:t>In structural design, engineers often need to retrieve historically similar cases for scheme comparison and analogical analysis, while conventional drawing management systems retrieve only by metadata such as project names and drawing numbers and cannot express structural similarity, and the notion of structural similarity between drawings has long lacked a quantitative definition and evaluation method. This paper proposes a two-stage structural similarity retrieval framework constrained by structural system type. DXF structural drawings are parsed, members are classified into columns, short-pier shear walls and shear walls, and an 11-dimensional structural statistical descriptor is built following an information hierarchy of structural system, member weights, size scale, size dispersion and spatial layout. In Stage 1, the structural system type (frame, frame-shear wall or shear wall) of the query drawing is identified by leave-one-out cosine nearest-neighbor classification; in Stage 2, Top-K similar case retrieval is performed within the same-type candidate set using the standardized descriptor with Manhattan distance. An expert structural similarity benchmark is constructed, containing 15 queries and 171 blind annotations on a 0-5 scale, following a project-blind retrieval and project-aware evaluation protocol. Experimental results show that leave-one-out type recognition reaches a Top-1 accuracy of 87.7%; the standardized descriptor with Manhattan distance achieves the best retrieval performance (NDCG@3=0.746, Recall@3=35.6%, MeanScore@3=1.111); under the current case library and evaluation setting, the component type ratio is the most discriminative feature group; on the cross-project subset of our expert sample, the statistical descriptor (NDCG@5=0.501) clearly outperforms the graph neural network representation trained with a classification objective (0.273). The results indicate that descriptors with explicit engineering semantics can effectively support fine-grained structural case retrieval.</w:t>
      </w:r>
    </w:p>
    <w:p>
      <w:pPr/>
      <w:r>
        <w:rPr>
          <w:b/>
        </w:rPr>
        <w:t xml:space="preserve">[Keywords]　</w:t>
      </w:r>
      <w:r>
        <w:t>building structure; case retrieval; structural similarity; structural system recognition; structural statistical descriptor; expert evaluation</w:t>
      </w:r>
    </w:p>
    <w:p>
      <w:pPr>
        <w:pStyle w:val="1"/>
      </w:pPr>
      <w:r>
        <w:t>0 引言</w:t>
      </w:r>
    </w:p>
    <w:p>
      <w:pPr/>
      <w:r>
        <w:t>建筑结构设计过程中，设计人员经常需要参考历史工程案例：方案比选时，需要寻找结构体系、构件组成与几何尺度相近的已建成方案作为参照；超限审查与专项论证中的类比分析，同样依赖相似历史案例的经验。随着计算机辅助设计的普及，设计企业积累了大量以DXF格式存储的数字化结构图纸档案，构成了宝贵的设计知识库。然而，现有图纸管理系统主要依赖项目名称、图纸编号、专业工种等元数据进行检索，无法回答“当前图纸与哪个历史案例在结构上最相似”这一问题，结构相似案例的获取长期依赖人工记忆与经验。基于案例的推理（case-based reasoning，CBR）研究表明，复用历史案例能够显著提升设计效率[1-3]，但其前提是建立可靠的案例表示、相似性度量与检索机制——而对结构图纸而言，“结构相似”本身尚缺少明确的量化定义。</w:t>
      </w:r>
    </w:p>
    <w:p>
      <w:pPr/>
      <w:r>
        <w:t>与通用图像、文本检索相比，建筑结构图纸的相似性检索具有三个特殊挑战。其一，结构图纸的对象是二维工程几何，其承载的是构件类型组成、构件尺度与空间布置等信息，简单的像素级图像相似度不能反映结构相似性；其二，结构体系是建筑结构的根本属性，建筑抗震设计相关标准对框架、框剪、剪力墙等体系的适用高度、构件构成与抗震措施有严格规定[4-5]，不同体系的结构即使某些几何统计量接近，也不应被视为高度相似，若在全空间直接比较容易产生误匹配，因此结构相似性检索需要引入结构体系这一工程先验作为约束；其三，项目归属不能等同于结构相似——同一项目可能包含体系、布置、高度各不相同的多个楼栋，不同项目之间也可能采用非常接近的结构方案，若直接以“同项目”作为相似性的代理标签，将给检索评价引入系统性偏差，必须建立专家定义的结构相似性评价体系。</w:t>
      </w:r>
    </w:p>
    <w:p>
      <w:pPr/>
      <w:r>
        <w:t>据此，本文将研究问题定义为：如何从建筑结构图纸出发，定量地定义、计算并评价图纸之间的结构相似性，从而在历史案例库中自动检索出具有工程参考价值的相似案例。这是一个此前缺少明确量化方法的问题，本文以工程案例验证的方式对其进行探索。围绕该问题，本文的主要贡献包括三个方面：（1）建立面向建筑结构图纸的工程语义结构描述方法，即按“结构体系—构件权重—尺寸规模—尺寸离散—空间布局”信息层级组织的11维结构统计描述子，将结构相似性的比较建立在具有明确工程含义的描述空间之上；（2）提出结构体系约束的两阶段结构相似性检索框架，以“先判型、后类内检索”的机制将结构体系转化为相似性候选空间的约束条件，使相似性比较只在同一结构体系内进行；（3）建立以专家评分为核心、项目名称与检索解耦的结构相似性评价方法，构建15个查询/171对盲评标注的专家基准，提出并实证验证“检索项目无关、评估项目感知”原则，并以此系统比较工程语义统计描述与以分类为目标训练的深度图表征在该任务上的表现。</w:t>
      </w:r>
    </w:p>
    <w:p>
      <w:pPr>
        <w:pStyle w:val="1"/>
      </w:pPr>
      <w:r>
        <w:t>1 相关研究</w:t>
      </w:r>
    </w:p>
    <w:p>
      <w:pPr>
        <w:pStyle w:val="2"/>
      </w:pPr>
      <w:r>
        <w:t>1.1建筑结构案例复用与基于案例的推理</w:t>
      </w:r>
    </w:p>
    <w:p>
      <w:pPr/>
      <w:r>
        <w:t>基于案例的推理源于认知科学对类比推理的研究，其核心思想是：新问题可以参照与其相似的历史案例求解[1]。Aamodt与Plaza将CBR归纳为检索、复用、修正与保存四个环节，并指出案例表示与相似性度量是整个方法的基础[2]；Watson进一步讨论了CBR在企业系统中的工程化实现[3]。在工程设计领域，结构方案的类比复用具有天然的工程价值：结构体系选型、构件布置与尺度确定都高度依赖既有经验。然而，结构案例的表示长期停留在项目名称、层数、高度等元数据层面，“结构相似”缺少面向图纸内容的量化描述，案例检索因此难以自动化。</w:t>
      </w:r>
    </w:p>
    <w:p>
      <w:pPr>
        <w:pStyle w:val="2"/>
      </w:pPr>
      <w:r>
        <w:t>1.2工程图纸与BIM模型的相似性检索</w:t>
      </w:r>
    </w:p>
    <w:p>
      <w:pPr/>
      <w:r>
        <w:t>工程图纸与建筑信息模型（BIM）的数字化为案例检索提供了数据基础[6]。在通用层面，基于内容的图像检索（CBIR）经过数十年发展，已形成颜色、纹理、形状等多层次视觉特征体系[7]；在形状层面，基于轮廓的形状描述子被广泛用于非刚体形状匹配[8]。但这些方法面向的是视觉外观相似：结构平面图即使视觉轮廓接近，若构件类型组成与结构体系不同，在工程意义上也不相似；反之，绘制风格不同的图纸也可能承载非常接近的结构方案。直接套用图像或形状检索方法，无法表达结构工程所关心的语义相似。</w:t>
      </w:r>
    </w:p>
    <w:p>
      <w:pPr>
        <w:pStyle w:val="2"/>
      </w:pPr>
      <w:r>
        <w:t>1.3图表示学习及其在结构检索中的应用前景</w:t>
      </w:r>
    </w:p>
    <w:p>
      <w:pPr/>
      <w:r>
        <w:t>建筑结构平面天然具有图结构：构件为节点，空间邻接或传力关系为边。图神经网络（graph neural network，GNN）通过消息传递聚合邻域信息，能够学习图级表征[10]，代表性方法包括图卷积网络（GCN）[11]、GraphSAGE[12]、图注意力网络（GAT）[13]与GIN[14]。在相似性学习方面，度量学习提供了以“相似样本距离近、不相似样本距离远”为目标的训练范式[15]，并在人脸识别等任务中得到验证[16-17]。因此，图表示学习具备用于结构平面检索的潜力，但其表征质量高度依赖监督信号的设计：若训练目标与检索任务不一致，学到的表征未必支持细粒度相似性排序。</w:t>
      </w:r>
    </w:p>
    <w:p>
      <w:pPr>
        <w:pStyle w:val="2"/>
      </w:pPr>
      <w:r>
        <w:t>1.4研究空白</w:t>
      </w:r>
    </w:p>
    <w:p>
      <w:pPr/>
      <w:r>
        <w:t>综上，现有方法或面向图纸的几何与视觉外观[7-8]，或面向项目元数据与模型信息[6]，或提供通用的深度图表征工具[10-14]；而针对建筑结构体系及其工程语义构件组成的结构相似性检索研究仍较少，且已有评价方式多以“同项目”作为相似性的代理，缺少专家定义的结构相似性真值。本文正是围绕这一空白展开：以工程语义描述结构、以结构体系约束检索、以专家评分评价检索。</w:t>
      </w:r>
    </w:p>
    <w:p>
      <w:pPr>
        <w:pStyle w:val="1"/>
      </w:pPr>
      <w:r>
        <w:t>2 结构案例库与结构描述</w:t>
      </w:r>
    </w:p>
    <w:p>
      <w:pPr>
        <w:pStyle w:val="2"/>
      </w:pPr>
      <w:r>
        <w:t>2.1案例库构成</w:t>
      </w:r>
    </w:p>
    <w:p>
      <w:pPr/>
      <w:r>
        <w:t>本文案例库包含106张DXF格式的结构平面图纸，来自20个真实工程项目，涵盖建筑抗震设计相关标准定义的三种基本结构体系[4]：剪力墙结构42张、框剪结构38张、框架结构26张，图纸覆盖地下室、标准层、裙房等不同功能楼层。检索在库内进行，查询时排除查询图纸自身。案例库与专家基准的基本统计见表1。</w:t>
      </w:r>
    </w:p>
    <w:p>
      <w:pPr>
        <w:pStyle w:val="a6"/>
      </w:pPr>
      <w:r>
        <w:t>表1 案例库与专家基准数据统计</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4819"/>
        <w:gridCol w:w="4819"/>
      </w:tblGrid>
      <w:tr>
        <w:tc>
          <w:tcPr>
            <w:tcW w:type="dxa" w:w="4819"/>
            <w:tcBorders>
              <w:bottom w:val="single" w:sz="6" w:space="0" w:color="000000"/>
            </w:tcBorders>
          </w:tcPr>
          <w:p>
            <w:pPr>
              <w:jc w:val="center"/>
            </w:pPr>
            <w:r>
              <w:rPr>
                <w:b/>
                <w:sz w:val="18"/>
                <w:rFonts w:eastAsia="宋体"/>
              </w:rPr>
              <w:t>项目</w:t>
            </w:r>
          </w:p>
        </w:tc>
        <w:tc>
          <w:tcPr>
            <w:tcW w:type="dxa" w:w="4819"/>
            <w:tcBorders>
              <w:bottom w:val="single" w:sz="6" w:space="0" w:color="000000"/>
            </w:tcBorders>
          </w:tcPr>
          <w:p>
            <w:pPr>
              <w:jc w:val="center"/>
            </w:pPr>
            <w:r>
              <w:rPr>
                <w:b/>
                <w:sz w:val="18"/>
                <w:rFonts w:eastAsia="宋体"/>
              </w:rPr>
              <w:t>数值</w:t>
            </w:r>
          </w:p>
        </w:tc>
      </w:tr>
      <w:tr>
        <w:tc>
          <w:tcPr>
            <w:tcW w:type="dxa" w:w="4819"/>
          </w:tcPr>
          <w:p>
            <w:pPr>
              <w:jc w:val="center"/>
            </w:pPr>
            <w:r>
              <w:rPr>
                <w:b w:val="0"/>
                <w:sz w:val="18"/>
                <w:rFonts w:eastAsia="宋体"/>
              </w:rPr>
              <w:t>图纸总数</w:t>
            </w:r>
          </w:p>
        </w:tc>
        <w:tc>
          <w:tcPr>
            <w:tcW w:type="dxa" w:w="4819"/>
          </w:tcPr>
          <w:p>
            <w:pPr>
              <w:jc w:val="center"/>
            </w:pPr>
            <w:r>
              <w:rPr>
                <w:b w:val="0"/>
                <w:sz w:val="18"/>
                <w:rFonts w:eastAsia="宋体"/>
              </w:rPr>
              <w:t>106</w:t>
            </w:r>
          </w:p>
        </w:tc>
      </w:tr>
      <w:tr>
        <w:tc>
          <w:tcPr>
            <w:tcW w:type="dxa" w:w="4819"/>
          </w:tcPr>
          <w:p>
            <w:pPr>
              <w:jc w:val="center"/>
            </w:pPr>
            <w:r>
              <w:rPr>
                <w:b w:val="0"/>
                <w:sz w:val="18"/>
                <w:rFonts w:eastAsia="宋体"/>
              </w:rPr>
              <w:t>剪力墙结构</w:t>
            </w:r>
          </w:p>
        </w:tc>
        <w:tc>
          <w:tcPr>
            <w:tcW w:type="dxa" w:w="4819"/>
          </w:tcPr>
          <w:p>
            <w:pPr>
              <w:jc w:val="center"/>
            </w:pPr>
            <w:r>
              <w:rPr>
                <w:b w:val="0"/>
                <w:sz w:val="18"/>
                <w:rFonts w:eastAsia="宋体"/>
              </w:rPr>
              <w:t>42</w:t>
            </w:r>
          </w:p>
        </w:tc>
      </w:tr>
      <w:tr>
        <w:tc>
          <w:tcPr>
            <w:tcW w:type="dxa" w:w="4819"/>
          </w:tcPr>
          <w:p>
            <w:pPr>
              <w:jc w:val="center"/>
            </w:pPr>
            <w:r>
              <w:rPr>
                <w:b w:val="0"/>
                <w:sz w:val="18"/>
                <w:rFonts w:eastAsia="宋体"/>
              </w:rPr>
              <w:t>框剪结构</w:t>
            </w:r>
          </w:p>
        </w:tc>
        <w:tc>
          <w:tcPr>
            <w:tcW w:type="dxa" w:w="4819"/>
          </w:tcPr>
          <w:p>
            <w:pPr>
              <w:jc w:val="center"/>
            </w:pPr>
            <w:r>
              <w:rPr>
                <w:b w:val="0"/>
                <w:sz w:val="18"/>
                <w:rFonts w:eastAsia="宋体"/>
              </w:rPr>
              <w:t>38</w:t>
            </w:r>
          </w:p>
        </w:tc>
      </w:tr>
      <w:tr>
        <w:tc>
          <w:tcPr>
            <w:tcW w:type="dxa" w:w="4819"/>
          </w:tcPr>
          <w:p>
            <w:pPr>
              <w:jc w:val="center"/>
            </w:pPr>
            <w:r>
              <w:rPr>
                <w:b w:val="0"/>
                <w:sz w:val="18"/>
                <w:rFonts w:eastAsia="宋体"/>
              </w:rPr>
              <w:t>框架结构</w:t>
            </w:r>
          </w:p>
        </w:tc>
        <w:tc>
          <w:tcPr>
            <w:tcW w:type="dxa" w:w="4819"/>
          </w:tcPr>
          <w:p>
            <w:pPr>
              <w:jc w:val="center"/>
            </w:pPr>
            <w:r>
              <w:rPr>
                <w:b w:val="0"/>
                <w:sz w:val="18"/>
                <w:rFonts w:eastAsia="宋体"/>
              </w:rPr>
              <w:t>26</w:t>
            </w:r>
          </w:p>
        </w:tc>
      </w:tr>
      <w:tr>
        <w:tc>
          <w:tcPr>
            <w:tcW w:type="dxa" w:w="4819"/>
          </w:tcPr>
          <w:p>
            <w:pPr>
              <w:jc w:val="center"/>
            </w:pPr>
            <w:r>
              <w:rPr>
                <w:b w:val="0"/>
                <w:sz w:val="18"/>
                <w:rFonts w:eastAsia="宋体"/>
              </w:rPr>
              <w:t>覆盖工程项目数</w:t>
            </w:r>
          </w:p>
        </w:tc>
        <w:tc>
          <w:tcPr>
            <w:tcW w:type="dxa" w:w="4819"/>
          </w:tcPr>
          <w:p>
            <w:pPr>
              <w:jc w:val="center"/>
            </w:pPr>
            <w:r>
              <w:rPr>
                <w:b w:val="0"/>
                <w:sz w:val="18"/>
                <w:rFonts w:eastAsia="宋体"/>
              </w:rPr>
              <w:t>20</w:t>
            </w:r>
          </w:p>
        </w:tc>
      </w:tr>
      <w:tr>
        <w:tc>
          <w:tcPr>
            <w:tcW w:type="dxa" w:w="4819"/>
          </w:tcPr>
          <w:p>
            <w:pPr>
              <w:jc w:val="center"/>
            </w:pPr>
            <w:r>
              <w:rPr>
                <w:b w:val="0"/>
                <w:sz w:val="18"/>
                <w:rFonts w:eastAsia="宋体"/>
              </w:rPr>
              <w:t>专家基准查询数</w:t>
            </w:r>
          </w:p>
        </w:tc>
        <w:tc>
          <w:tcPr>
            <w:tcW w:type="dxa" w:w="4819"/>
          </w:tcPr>
          <w:p>
            <w:pPr>
              <w:jc w:val="center"/>
            </w:pPr>
            <w:r>
              <w:rPr>
                <w:b w:val="0"/>
                <w:sz w:val="18"/>
                <w:rFonts w:eastAsia="宋体"/>
              </w:rPr>
              <w:t>15（三种类型各5）</w:t>
            </w:r>
          </w:p>
        </w:tc>
      </w:tr>
      <w:tr>
        <w:tc>
          <w:tcPr>
            <w:tcW w:type="dxa" w:w="4819"/>
          </w:tcPr>
          <w:p>
            <w:pPr>
              <w:jc w:val="center"/>
            </w:pPr>
            <w:r>
              <w:rPr>
                <w:b w:val="0"/>
                <w:sz w:val="18"/>
                <w:rFonts w:eastAsia="宋体"/>
              </w:rPr>
              <w:t>专家标注对数</w:t>
            </w:r>
          </w:p>
        </w:tc>
        <w:tc>
          <w:tcPr>
            <w:tcW w:type="dxa" w:w="4819"/>
          </w:tcPr>
          <w:p>
            <w:pPr>
              <w:jc w:val="center"/>
            </w:pPr>
            <w:r>
              <w:rPr>
                <w:b w:val="0"/>
                <w:sz w:val="18"/>
                <w:rFonts w:eastAsia="宋体"/>
              </w:rPr>
              <w:t>171</w:t>
            </w:r>
          </w:p>
        </w:tc>
      </w:tr>
      <w:tr>
        <w:tc>
          <w:tcPr>
            <w:tcW w:type="dxa" w:w="4819"/>
          </w:tcPr>
          <w:p>
            <w:pPr>
              <w:jc w:val="center"/>
            </w:pPr>
            <w:r>
              <w:rPr>
                <w:b w:val="0"/>
                <w:sz w:val="18"/>
                <w:rFonts w:eastAsia="宋体"/>
              </w:rPr>
              <w:t>专家评分范围</w:t>
            </w:r>
          </w:p>
        </w:tc>
        <w:tc>
          <w:tcPr>
            <w:tcW w:type="dxa" w:w="4819"/>
          </w:tcPr>
          <w:p>
            <w:pPr>
              <w:jc w:val="center"/>
            </w:pPr>
            <w:r>
              <w:rPr>
                <w:b w:val="0"/>
                <w:sz w:val="18"/>
                <w:rFonts w:eastAsia="宋体"/>
              </w:rPr>
              <w:t>0～5分</w:t>
            </w:r>
          </w:p>
        </w:tc>
      </w:tr>
    </w:tbl>
    <w:p>
      <w:pPr>
        <w:pStyle w:val="2"/>
      </w:pPr>
      <w:r>
        <w:t>2.2DXF结构解析与构件分类</w:t>
      </w:r>
    </w:p>
    <w:p>
      <w:pPr/>
      <w:r>
        <w:t>本文针对DXF格式的结构平面图建立解析流程：首先提取LWPOLYLINE与POLYLINE实体并转换为闭合多边形（首尾间隙小于1.0单位时自动闭合），对INSERT块引用实体按最大4层深度递归展开，以覆盖以块方式组织的构件图；随后以最小外接矩形对每个多边形进行主轴对齐，并保留构件质心坐标，使图纸描述具有平移与旋转不变性。</w:t>
      </w:r>
    </w:p>
    <w:p>
      <w:pPr/>
      <w:r>
        <w:t>依据几何特征将每个构件划分为柱、短肢剪力墙、剪力墙三类。记构件长肢长度与厚度之比为长细比r，分类规则为：当r≥8，或壁厚t≥310mm且r＞4时，判为剪力墙；当r≥4且不满足剪力墙条件时，判为短肢剪力墙；其余判为柱。每个构件记录质心坐标、面积、跨度、长肢长度、壁厚与长细比等属性，构成特征构建所需的构件集合。该分类规则与结构工程中柱、短肢剪力墙与剪力墙的判别习惯一致，使后续特征具有明确的工程含义。</w:t>
      </w:r>
    </w:p>
    <w:p>
      <w:pPr>
        <w:pStyle w:val="2"/>
      </w:pPr>
      <w:r>
        <w:t>2.3结构统计描述子的设计与定义</w:t>
      </w:r>
    </w:p>
    <w:p>
      <w:pPr/>
      <w:r>
        <w:t>结构相似性的量化，首先需要回答结构工程师判断两个方案是否相似时所关注的信息。本文将这些关注点组织为六个信息层级：结构体系——这是什么类型的结构；构件权重——各类构件在结构中占多大比重；尺寸规模——结构的整体体量；尺寸离散——构件尺寸是否集中；构件均匀性——构件面积分布是否均匀；空间布局——构件布置是否疏密均匀。六个层级与具体特征的对应关系见表2。在这一信息层级下，11维描述子不是若干统计量的简单堆叠，而是从结构工程认知出发构造的结构描述空间。</w:t>
      </w:r>
    </w:p>
    <w:p>
      <w:pPr>
        <w:pStyle w:val="a6"/>
      </w:pPr>
      <w:r>
        <w:t>表2 结构统计描述子的信息层级与特征设计</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Borders>
              <w:bottom w:val="single" w:sz="6" w:space="0" w:color="000000"/>
            </w:tcBorders>
          </w:tcPr>
          <w:p>
            <w:pPr>
              <w:jc w:val="center"/>
            </w:pPr>
            <w:r>
              <w:rPr>
                <w:b/>
                <w:sz w:val="18"/>
                <w:rFonts w:eastAsia="宋体"/>
              </w:rPr>
              <w:t>信息层级</w:t>
            </w:r>
          </w:p>
        </w:tc>
        <w:tc>
          <w:tcPr>
            <w:tcW w:type="dxa" w:w="2409"/>
            <w:tcBorders>
              <w:bottom w:val="single" w:sz="6" w:space="0" w:color="000000"/>
            </w:tcBorders>
          </w:tcPr>
          <w:p>
            <w:pPr>
              <w:jc w:val="center"/>
            </w:pPr>
            <w:r>
              <w:rPr>
                <w:b/>
                <w:sz w:val="18"/>
                <w:rFonts w:eastAsia="宋体"/>
              </w:rPr>
              <w:t>工程问题</w:t>
            </w:r>
          </w:p>
        </w:tc>
        <w:tc>
          <w:tcPr>
            <w:tcW w:type="dxa" w:w="2409"/>
            <w:tcBorders>
              <w:bottom w:val="single" w:sz="6" w:space="0" w:color="000000"/>
            </w:tcBorders>
          </w:tcPr>
          <w:p>
            <w:pPr>
              <w:jc w:val="center"/>
            </w:pPr>
            <w:r>
              <w:rPr>
                <w:b/>
                <w:sz w:val="18"/>
                <w:rFonts w:eastAsia="宋体"/>
              </w:rPr>
              <w:t>对应特征</w:t>
            </w:r>
          </w:p>
        </w:tc>
        <w:tc>
          <w:tcPr>
            <w:tcW w:type="dxa" w:w="2409"/>
            <w:tcBorders>
              <w:bottom w:val="single" w:sz="6" w:space="0" w:color="000000"/>
            </w:tcBorders>
          </w:tcPr>
          <w:p>
            <w:pPr>
              <w:jc w:val="center"/>
            </w:pPr>
            <w:r>
              <w:rPr>
                <w:b/>
                <w:sz w:val="18"/>
                <w:rFonts w:eastAsia="宋体"/>
              </w:rPr>
              <w:t>维数</w:t>
            </w:r>
          </w:p>
        </w:tc>
      </w:tr>
      <w:tr>
        <w:tc>
          <w:tcPr>
            <w:tcW w:type="dxa" w:w="2409"/>
          </w:tcPr>
          <w:p>
            <w:pPr>
              <w:jc w:val="center"/>
            </w:pPr>
            <w:r>
              <w:rPr>
                <w:b w:val="0"/>
                <w:sz w:val="18"/>
                <w:rFonts w:eastAsia="宋体"/>
              </w:rPr>
              <w:t>结构体系</w:t>
            </w:r>
          </w:p>
        </w:tc>
        <w:tc>
          <w:tcPr>
            <w:tcW w:type="dxa" w:w="2409"/>
          </w:tcPr>
          <w:p>
            <w:pPr>
              <w:jc w:val="center"/>
            </w:pPr>
            <w:r>
              <w:rPr>
                <w:b w:val="0"/>
                <w:sz w:val="18"/>
                <w:rFonts w:eastAsia="宋体"/>
              </w:rPr>
              <w:t>这是什么类型的结构</w:t>
            </w:r>
          </w:p>
        </w:tc>
        <w:tc>
          <w:tcPr>
            <w:tcW w:type="dxa" w:w="2409"/>
          </w:tcPr>
          <w:p>
            <w:pPr>
              <w:jc w:val="center"/>
            </w:pPr>
            <w:r>
              <w:rPr>
                <w:b w:val="0"/>
                <w:sz w:val="18"/>
                <w:rFonts w:eastAsia="宋体"/>
              </w:rPr>
              <w:t>构件类型占比p</w:t>
            </w:r>
          </w:p>
        </w:tc>
        <w:tc>
          <w:tcPr>
            <w:tcW w:type="dxa" w:w="2409"/>
          </w:tcPr>
          <w:p>
            <w:pPr>
              <w:jc w:val="center"/>
            </w:pPr>
            <w:r>
              <w:rPr>
                <w:b w:val="0"/>
                <w:sz w:val="18"/>
                <w:rFonts w:eastAsia="宋体"/>
              </w:rPr>
              <w:t>3</w:t>
            </w:r>
          </w:p>
        </w:tc>
      </w:tr>
      <w:tr>
        <w:tc>
          <w:tcPr>
            <w:tcW w:type="dxa" w:w="2409"/>
          </w:tcPr>
          <w:p>
            <w:pPr>
              <w:jc w:val="center"/>
            </w:pPr>
            <w:r>
              <w:rPr>
                <w:b w:val="0"/>
                <w:sz w:val="18"/>
                <w:rFonts w:eastAsia="宋体"/>
              </w:rPr>
              <w:t>构件权重</w:t>
            </w:r>
          </w:p>
        </w:tc>
        <w:tc>
          <w:tcPr>
            <w:tcW w:type="dxa" w:w="2409"/>
          </w:tcPr>
          <w:p>
            <w:pPr>
              <w:jc w:val="center"/>
            </w:pPr>
            <w:r>
              <w:rPr>
                <w:b w:val="0"/>
                <w:sz w:val="18"/>
                <w:rFonts w:eastAsia="宋体"/>
              </w:rPr>
              <w:t>各类构件贡献多大比重</w:t>
            </w:r>
          </w:p>
        </w:tc>
        <w:tc>
          <w:tcPr>
            <w:tcW w:type="dxa" w:w="2409"/>
          </w:tcPr>
          <w:p>
            <w:pPr>
              <w:jc w:val="center"/>
            </w:pPr>
            <w:r>
              <w:rPr>
                <w:b w:val="0"/>
                <w:sz w:val="18"/>
                <w:rFonts w:eastAsia="宋体"/>
              </w:rPr>
              <w:t>构件面积占比q</w:t>
            </w:r>
          </w:p>
        </w:tc>
        <w:tc>
          <w:tcPr>
            <w:tcW w:type="dxa" w:w="2409"/>
          </w:tcPr>
          <w:p>
            <w:pPr>
              <w:jc w:val="center"/>
            </w:pPr>
            <w:r>
              <w:rPr>
                <w:b w:val="0"/>
                <w:sz w:val="18"/>
                <w:rFonts w:eastAsia="宋体"/>
              </w:rPr>
              <w:t>3</w:t>
            </w:r>
          </w:p>
        </w:tc>
      </w:tr>
      <w:tr>
        <w:tc>
          <w:tcPr>
            <w:tcW w:type="dxa" w:w="2409"/>
          </w:tcPr>
          <w:p>
            <w:pPr>
              <w:jc w:val="center"/>
            </w:pPr>
            <w:r>
              <w:rPr>
                <w:b w:val="0"/>
                <w:sz w:val="18"/>
                <w:rFonts w:eastAsia="宋体"/>
              </w:rPr>
              <w:t>尺寸规模</w:t>
            </w:r>
          </w:p>
        </w:tc>
        <w:tc>
          <w:tcPr>
            <w:tcW w:type="dxa" w:w="2409"/>
          </w:tcPr>
          <w:p>
            <w:pPr>
              <w:jc w:val="center"/>
            </w:pPr>
            <w:r>
              <w:rPr>
                <w:b w:val="0"/>
                <w:sz w:val="18"/>
                <w:rFonts w:eastAsia="宋体"/>
              </w:rPr>
              <w:t>结构整体体量多大</w:t>
            </w:r>
          </w:p>
        </w:tc>
        <w:tc>
          <w:tcPr>
            <w:tcW w:type="dxa" w:w="2409"/>
          </w:tcPr>
          <w:p>
            <w:pPr>
              <w:jc w:val="center"/>
            </w:pPr>
            <w:r>
              <w:rPr>
                <w:b w:val="0"/>
                <w:sz w:val="18"/>
                <w:rFonts w:eastAsia="宋体"/>
              </w:rPr>
              <w:t>总面积对数ln(1+S)</w:t>
            </w:r>
          </w:p>
        </w:tc>
        <w:tc>
          <w:tcPr>
            <w:tcW w:type="dxa" w:w="2409"/>
          </w:tcPr>
          <w:p>
            <w:pPr>
              <w:jc w:val="center"/>
            </w:pPr>
            <w:r>
              <w:rPr>
                <w:b w:val="0"/>
                <w:sz w:val="18"/>
                <w:rFonts w:eastAsia="宋体"/>
              </w:rPr>
              <w:t>1</w:t>
            </w:r>
          </w:p>
        </w:tc>
      </w:tr>
      <w:tr>
        <w:tc>
          <w:tcPr>
            <w:tcW w:type="dxa" w:w="2409"/>
          </w:tcPr>
          <w:p>
            <w:pPr>
              <w:jc w:val="center"/>
            </w:pPr>
            <w:r>
              <w:rPr>
                <w:b w:val="0"/>
                <w:sz w:val="18"/>
                <w:rFonts w:eastAsia="宋体"/>
              </w:rPr>
              <w:t>尺寸离散</w:t>
            </w:r>
          </w:p>
        </w:tc>
        <w:tc>
          <w:tcPr>
            <w:tcW w:type="dxa" w:w="2409"/>
          </w:tcPr>
          <w:p>
            <w:pPr>
              <w:jc w:val="center"/>
            </w:pPr>
            <w:r>
              <w:rPr>
                <w:b w:val="0"/>
                <w:sz w:val="18"/>
                <w:rFonts w:eastAsia="宋体"/>
              </w:rPr>
              <w:t>构件尺寸是否集中</w:t>
            </w:r>
          </w:p>
        </w:tc>
        <w:tc>
          <w:tcPr>
            <w:tcW w:type="dxa" w:w="2409"/>
          </w:tcPr>
          <w:p>
            <w:pPr>
              <w:jc w:val="center"/>
            </w:pPr>
            <w:r>
              <w:rPr>
                <w:b w:val="0"/>
                <w:sz w:val="18"/>
                <w:rFonts w:eastAsia="宋体"/>
              </w:rPr>
              <w:t>面积变异系数CV</w:t>
            </w:r>
          </w:p>
        </w:tc>
        <w:tc>
          <w:tcPr>
            <w:tcW w:type="dxa" w:w="2409"/>
          </w:tcPr>
          <w:p>
            <w:pPr>
              <w:jc w:val="center"/>
            </w:pPr>
            <w:r>
              <w:rPr>
                <w:b w:val="0"/>
                <w:sz w:val="18"/>
                <w:rFonts w:eastAsia="宋体"/>
              </w:rPr>
              <w:t>1</w:t>
            </w:r>
          </w:p>
        </w:tc>
      </w:tr>
      <w:tr>
        <w:tc>
          <w:tcPr>
            <w:tcW w:type="dxa" w:w="2409"/>
          </w:tcPr>
          <w:p>
            <w:pPr>
              <w:jc w:val="center"/>
            </w:pPr>
            <w:r>
              <w:rPr>
                <w:b w:val="0"/>
                <w:sz w:val="18"/>
                <w:rFonts w:eastAsia="宋体"/>
              </w:rPr>
              <w:t>构件均匀性</w:t>
            </w:r>
          </w:p>
        </w:tc>
        <w:tc>
          <w:tcPr>
            <w:tcW w:type="dxa" w:w="2409"/>
          </w:tcPr>
          <w:p>
            <w:pPr>
              <w:jc w:val="center"/>
            </w:pPr>
            <w:r>
              <w:rPr>
                <w:b w:val="0"/>
                <w:sz w:val="18"/>
                <w:rFonts w:eastAsia="宋体"/>
              </w:rPr>
              <w:t>构件面积分布是否均匀</w:t>
            </w:r>
          </w:p>
        </w:tc>
        <w:tc>
          <w:tcPr>
            <w:tcW w:type="dxa" w:w="2409"/>
          </w:tcPr>
          <w:p>
            <w:pPr>
              <w:jc w:val="center"/>
            </w:pPr>
            <w:r>
              <w:rPr>
                <w:b w:val="0"/>
                <w:sz w:val="18"/>
                <w:rFonts w:eastAsia="宋体"/>
              </w:rPr>
              <w:t>面积熵H</w:t>
            </w:r>
          </w:p>
        </w:tc>
        <w:tc>
          <w:tcPr>
            <w:tcW w:type="dxa" w:w="2409"/>
          </w:tcPr>
          <w:p>
            <w:pPr>
              <w:jc w:val="center"/>
            </w:pPr>
            <w:r>
              <w:rPr>
                <w:b w:val="0"/>
                <w:sz w:val="18"/>
                <w:rFonts w:eastAsia="宋体"/>
              </w:rPr>
              <w:t>1</w:t>
            </w:r>
          </w:p>
        </w:tc>
      </w:tr>
      <w:tr>
        <w:tc>
          <w:tcPr>
            <w:tcW w:type="dxa" w:w="2409"/>
          </w:tcPr>
          <w:p>
            <w:pPr>
              <w:jc w:val="center"/>
            </w:pPr>
            <w:r>
              <w:rPr>
                <w:b w:val="0"/>
                <w:sz w:val="18"/>
                <w:rFonts w:eastAsia="宋体"/>
              </w:rPr>
              <w:t>空间布局</w:t>
            </w:r>
          </w:p>
        </w:tc>
        <w:tc>
          <w:tcPr>
            <w:tcW w:type="dxa" w:w="2409"/>
          </w:tcPr>
          <w:p>
            <w:pPr>
              <w:jc w:val="center"/>
            </w:pPr>
            <w:r>
              <w:rPr>
                <w:b w:val="0"/>
                <w:sz w:val="18"/>
                <w:rFonts w:eastAsia="宋体"/>
              </w:rPr>
              <w:t>构件布置疏密是否均匀</w:t>
            </w:r>
          </w:p>
        </w:tc>
        <w:tc>
          <w:tcPr>
            <w:tcW w:type="dxa" w:w="2409"/>
          </w:tcPr>
          <w:p>
            <w:pPr>
              <w:jc w:val="center"/>
            </w:pPr>
            <w:r>
              <w:rPr>
                <w:b w:val="0"/>
                <w:sz w:val="18"/>
                <w:rFonts w:eastAsia="宋体"/>
              </w:rPr>
              <w:t>最近邻距离统计μnn、σnn</w:t>
            </w:r>
          </w:p>
        </w:tc>
        <w:tc>
          <w:tcPr>
            <w:tcW w:type="dxa" w:w="2409"/>
          </w:tcPr>
          <w:p>
            <w:pPr>
              <w:jc w:val="center"/>
            </w:pPr>
            <w:r>
              <w:rPr>
                <w:b w:val="0"/>
                <w:sz w:val="18"/>
                <w:rFonts w:eastAsia="宋体"/>
              </w:rPr>
              <w:t>2</w:t>
            </w:r>
          </w:p>
        </w:tc>
      </w:tr>
    </w:tbl>
    <w:p>
      <w:pPr/>
      <w:r>
        <w:t>对包含N个构件的结构平面，上述信息层级具体化为11维全局结构统计描述子：（1）构件类型占比（3维）：各类构件数量与构件总数之比；（2）构件面积占比（3维）：各类构件面积之和与全部构件总面积之比；（3）面积分布（3维）：总面积对数刻画结构规模，面积变异系数刻画构件尺寸的离散程度，面积熵刻画构件面积分布的均匀性；（4）空间统计（2维）：各构件最近邻质心距离的均值与标准差，刻画构件布置的疏密与均匀程度。完整描述子为：</w:t>
      </w:r>
    </w:p>
    <w:p>
      <w:pPr>
        <w:jc w:val="center"/>
      </w:pPr>
      <w:r>
        <w:rPr>
          <w:i/>
        </w:rPr>
        <w:t>x = [p₁, p₂, p₃, q₁, q₂, q₃, ln(1+S), CV, H, μnn, σnn]ᵀ ∈ R¹¹　　(1)</w:t>
      </w:r>
    </w:p>
    <w:p>
      <w:pPr/>
      <w:r>
        <w:t>其中p₁～p₃与q₁～q₃分别为柱、短肢剪力墙、剪力墙的数量占比与面积占比；S为构件总面积；CV=σA/μA为面积变异系数；H=−Σαⱼlnαⱼ为面积熵，αⱼ为第j个构件面积占总面积的比例；μnn与σnn为最近邻质心距离的均值与标准差。各维度定义汇总于表3。描述子基于构件集合的统计量计算，对图纸的平移、旋转与绘制坐标系不敏感，且全程不使用图纸的项目名称等项目身份信息。</w:t>
      </w:r>
    </w:p>
    <w:p>
      <w:pPr>
        <w:pStyle w:val="a6"/>
      </w:pPr>
      <w:r>
        <w:t>表3 11维结构统计描述子定义</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213"/>
        <w:gridCol w:w="3213"/>
        <w:gridCol w:w="3213"/>
      </w:tblGrid>
      <w:tr>
        <w:tc>
          <w:tcPr>
            <w:tcW w:type="dxa" w:w="3213"/>
            <w:tcBorders>
              <w:bottom w:val="single" w:sz="6" w:space="0" w:color="000000"/>
            </w:tcBorders>
          </w:tcPr>
          <w:p>
            <w:pPr>
              <w:jc w:val="center"/>
            </w:pPr>
            <w:r>
              <w:rPr>
                <w:b/>
                <w:sz w:val="18"/>
                <w:rFonts w:eastAsia="宋体"/>
              </w:rPr>
              <w:t>维度</w:t>
            </w:r>
          </w:p>
        </w:tc>
        <w:tc>
          <w:tcPr>
            <w:tcW w:type="dxa" w:w="3213"/>
            <w:tcBorders>
              <w:bottom w:val="single" w:sz="6" w:space="0" w:color="000000"/>
            </w:tcBorders>
          </w:tcPr>
          <w:p>
            <w:pPr>
              <w:jc w:val="center"/>
            </w:pPr>
            <w:r>
              <w:rPr>
                <w:b/>
                <w:sz w:val="18"/>
                <w:rFonts w:eastAsia="宋体"/>
              </w:rPr>
              <w:t>符号</w:t>
            </w:r>
          </w:p>
        </w:tc>
        <w:tc>
          <w:tcPr>
            <w:tcW w:type="dxa" w:w="3213"/>
            <w:tcBorders>
              <w:bottom w:val="single" w:sz="6" w:space="0" w:color="000000"/>
            </w:tcBorders>
          </w:tcPr>
          <w:p>
            <w:pPr>
              <w:jc w:val="center"/>
            </w:pPr>
            <w:r>
              <w:rPr>
                <w:b/>
                <w:sz w:val="18"/>
                <w:rFonts w:eastAsia="宋体"/>
              </w:rPr>
              <w:t>工程含义</w:t>
            </w:r>
          </w:p>
        </w:tc>
      </w:tr>
      <w:tr>
        <w:tc>
          <w:tcPr>
            <w:tcW w:type="dxa" w:w="3213"/>
          </w:tcPr>
          <w:p>
            <w:pPr>
              <w:jc w:val="center"/>
            </w:pPr>
            <w:r>
              <w:rPr>
                <w:b w:val="0"/>
                <w:sz w:val="18"/>
                <w:rFonts w:eastAsia="宋体"/>
              </w:rPr>
              <w:t>1～3</w:t>
            </w:r>
          </w:p>
        </w:tc>
        <w:tc>
          <w:tcPr>
            <w:tcW w:type="dxa" w:w="3213"/>
          </w:tcPr>
          <w:p>
            <w:pPr>
              <w:jc w:val="center"/>
            </w:pPr>
            <w:r>
              <w:rPr>
                <w:b w:val="0"/>
                <w:sz w:val="18"/>
                <w:rFonts w:eastAsia="宋体"/>
              </w:rPr>
              <w:t>p₁, p₂, p₃</w:t>
            </w:r>
          </w:p>
        </w:tc>
        <w:tc>
          <w:tcPr>
            <w:tcW w:type="dxa" w:w="3213"/>
          </w:tcPr>
          <w:p>
            <w:pPr>
              <w:jc w:val="center"/>
            </w:pPr>
            <w:r>
              <w:rPr>
                <w:b w:val="0"/>
                <w:sz w:val="18"/>
                <w:rFonts w:eastAsia="宋体"/>
              </w:rPr>
              <w:t>柱、短肢剪力墙、剪力墙的数量占比</w:t>
            </w:r>
          </w:p>
        </w:tc>
      </w:tr>
      <w:tr>
        <w:tc>
          <w:tcPr>
            <w:tcW w:type="dxa" w:w="3213"/>
          </w:tcPr>
          <w:p>
            <w:pPr>
              <w:jc w:val="center"/>
            </w:pPr>
            <w:r>
              <w:rPr>
                <w:b w:val="0"/>
                <w:sz w:val="18"/>
                <w:rFonts w:eastAsia="宋体"/>
              </w:rPr>
              <w:t>4～6</w:t>
            </w:r>
          </w:p>
        </w:tc>
        <w:tc>
          <w:tcPr>
            <w:tcW w:type="dxa" w:w="3213"/>
          </w:tcPr>
          <w:p>
            <w:pPr>
              <w:jc w:val="center"/>
            </w:pPr>
            <w:r>
              <w:rPr>
                <w:b w:val="0"/>
                <w:sz w:val="18"/>
                <w:rFonts w:eastAsia="宋体"/>
              </w:rPr>
              <w:t>q₁, q₂, q₃</w:t>
            </w:r>
          </w:p>
        </w:tc>
        <w:tc>
          <w:tcPr>
            <w:tcW w:type="dxa" w:w="3213"/>
          </w:tcPr>
          <w:p>
            <w:pPr>
              <w:jc w:val="center"/>
            </w:pPr>
            <w:r>
              <w:rPr>
                <w:b w:val="0"/>
                <w:sz w:val="18"/>
                <w:rFonts w:eastAsia="宋体"/>
              </w:rPr>
              <w:t>柱、短肢剪力墙、剪力墙的面积占比</w:t>
            </w:r>
          </w:p>
        </w:tc>
      </w:tr>
      <w:tr>
        <w:tc>
          <w:tcPr>
            <w:tcW w:type="dxa" w:w="3213"/>
          </w:tcPr>
          <w:p>
            <w:pPr>
              <w:jc w:val="center"/>
            </w:pPr>
            <w:r>
              <w:rPr>
                <w:b w:val="0"/>
                <w:sz w:val="18"/>
                <w:rFonts w:eastAsia="宋体"/>
              </w:rPr>
              <w:t>7</w:t>
            </w:r>
          </w:p>
        </w:tc>
        <w:tc>
          <w:tcPr>
            <w:tcW w:type="dxa" w:w="3213"/>
          </w:tcPr>
          <w:p>
            <w:pPr>
              <w:jc w:val="center"/>
            </w:pPr>
            <w:r>
              <w:rPr>
                <w:b w:val="0"/>
                <w:sz w:val="18"/>
                <w:rFonts w:eastAsia="宋体"/>
              </w:rPr>
              <w:t>ln(1+S)</w:t>
            </w:r>
          </w:p>
        </w:tc>
        <w:tc>
          <w:tcPr>
            <w:tcW w:type="dxa" w:w="3213"/>
          </w:tcPr>
          <w:p>
            <w:pPr>
              <w:jc w:val="center"/>
            </w:pPr>
            <w:r>
              <w:rPr>
                <w:b w:val="0"/>
                <w:sz w:val="18"/>
                <w:rFonts w:eastAsia="宋体"/>
              </w:rPr>
              <w:t>构件总面积对数（结构规模）</w:t>
            </w:r>
          </w:p>
        </w:tc>
      </w:tr>
      <w:tr>
        <w:tc>
          <w:tcPr>
            <w:tcW w:type="dxa" w:w="3213"/>
          </w:tcPr>
          <w:p>
            <w:pPr>
              <w:jc w:val="center"/>
            </w:pPr>
            <w:r>
              <w:rPr>
                <w:b w:val="0"/>
                <w:sz w:val="18"/>
                <w:rFonts w:eastAsia="宋体"/>
              </w:rPr>
              <w:t>8</w:t>
            </w:r>
          </w:p>
        </w:tc>
        <w:tc>
          <w:tcPr>
            <w:tcW w:type="dxa" w:w="3213"/>
          </w:tcPr>
          <w:p>
            <w:pPr>
              <w:jc w:val="center"/>
            </w:pPr>
            <w:r>
              <w:rPr>
                <w:b w:val="0"/>
                <w:sz w:val="18"/>
                <w:rFonts w:eastAsia="宋体"/>
              </w:rPr>
              <w:t>CV</w:t>
            </w:r>
          </w:p>
        </w:tc>
        <w:tc>
          <w:tcPr>
            <w:tcW w:type="dxa" w:w="3213"/>
          </w:tcPr>
          <w:p>
            <w:pPr>
              <w:jc w:val="center"/>
            </w:pPr>
            <w:r>
              <w:rPr>
                <w:b w:val="0"/>
                <w:sz w:val="18"/>
                <w:rFonts w:eastAsia="宋体"/>
              </w:rPr>
              <w:t>面积变异系数（尺寸离散度）</w:t>
            </w:r>
          </w:p>
        </w:tc>
      </w:tr>
      <w:tr>
        <w:tc>
          <w:tcPr>
            <w:tcW w:type="dxa" w:w="3213"/>
          </w:tcPr>
          <w:p>
            <w:pPr>
              <w:jc w:val="center"/>
            </w:pPr>
            <w:r>
              <w:rPr>
                <w:b w:val="0"/>
                <w:sz w:val="18"/>
                <w:rFonts w:eastAsia="宋体"/>
              </w:rPr>
              <w:t>9</w:t>
            </w:r>
          </w:p>
        </w:tc>
        <w:tc>
          <w:tcPr>
            <w:tcW w:type="dxa" w:w="3213"/>
          </w:tcPr>
          <w:p>
            <w:pPr>
              <w:jc w:val="center"/>
            </w:pPr>
            <w:r>
              <w:rPr>
                <w:b w:val="0"/>
                <w:sz w:val="18"/>
                <w:rFonts w:eastAsia="宋体"/>
              </w:rPr>
              <w:t>H</w:t>
            </w:r>
          </w:p>
        </w:tc>
        <w:tc>
          <w:tcPr>
            <w:tcW w:type="dxa" w:w="3213"/>
          </w:tcPr>
          <w:p>
            <w:pPr>
              <w:jc w:val="center"/>
            </w:pPr>
            <w:r>
              <w:rPr>
                <w:b w:val="0"/>
                <w:sz w:val="18"/>
                <w:rFonts w:eastAsia="宋体"/>
              </w:rPr>
              <w:t>面积熵（尺寸分布均匀性）</w:t>
            </w:r>
          </w:p>
        </w:tc>
      </w:tr>
      <w:tr>
        <w:tc>
          <w:tcPr>
            <w:tcW w:type="dxa" w:w="3213"/>
          </w:tcPr>
          <w:p>
            <w:pPr>
              <w:jc w:val="center"/>
            </w:pPr>
            <w:r>
              <w:rPr>
                <w:b w:val="0"/>
                <w:sz w:val="18"/>
                <w:rFonts w:eastAsia="宋体"/>
              </w:rPr>
              <w:t>10～11</w:t>
            </w:r>
          </w:p>
        </w:tc>
        <w:tc>
          <w:tcPr>
            <w:tcW w:type="dxa" w:w="3213"/>
          </w:tcPr>
          <w:p>
            <w:pPr>
              <w:jc w:val="center"/>
            </w:pPr>
            <w:r>
              <w:rPr>
                <w:b w:val="0"/>
                <w:sz w:val="18"/>
                <w:rFonts w:eastAsia="宋体"/>
              </w:rPr>
              <w:t>μnn, σnn</w:t>
            </w:r>
          </w:p>
        </w:tc>
        <w:tc>
          <w:tcPr>
            <w:tcW w:type="dxa" w:w="3213"/>
          </w:tcPr>
          <w:p>
            <w:pPr>
              <w:jc w:val="center"/>
            </w:pPr>
            <w:r>
              <w:rPr>
                <w:b w:val="0"/>
                <w:sz w:val="18"/>
                <w:rFonts w:eastAsia="宋体"/>
              </w:rPr>
              <w:t>最近邻质心距离均值、标准差（布置疏密）</w:t>
            </w:r>
          </w:p>
        </w:tc>
      </w:tr>
    </w:tbl>
    <w:p>
      <w:pPr>
        <w:pStyle w:val="2"/>
      </w:pPr>
      <w:r>
        <w:t>2.4特征标准化</w:t>
      </w:r>
    </w:p>
    <w:p>
      <w:pPr/>
      <w:r>
        <w:t>上述11维特征量纲不同、取值范围不一，若直接在原始空间中度量距离，数值尺度大的维度将主导相似性计算。为此对每一维进行Z-score标准化：</w:t>
      </w:r>
    </w:p>
    <w:p>
      <w:pPr>
        <w:jc w:val="center"/>
      </w:pPr>
      <w:r>
        <w:rPr>
          <w:i/>
        </w:rPr>
        <w:t>zᵢ = (xᵢ − μᵢ) / σᵢ，i = 1, 2, …, 11　　(2)</w:t>
      </w:r>
    </w:p>
    <w:p>
      <w:pPr/>
      <w:r>
        <w:t>其中μᵢ、σᵢ分别为案例库中第i维特征的样本均值与标准差（σᵢ接近0时取1）。标准化统计量仅来自案例库自身，不涉及任何标注信息。第5.2节实验将验证标准化对检索性能具有决定性影响。</w:t>
      </w:r>
    </w:p>
    <w:p>
      <w:pPr>
        <w:pStyle w:val="1"/>
      </w:pPr>
      <w:r>
        <w:t>3 两阶段结构相似性检索方法</w:t>
      </w:r>
    </w:p>
    <w:p>
      <w:pPr/>
      <w:r>
        <w:t>两阶段结构相似性检索方法的总体框架如图1所示：对查询图纸先进行结构解析并构建结构统计描述子，随后依次经过“第一阶段结构体系识别”与“第二阶段类内相似检索”，输出Top-K相似案例。该框架遵循“识别先行、检索在后”的原则，将结构体系这一工程先验转化为检索过程的硬约束。</w:t>
      </w:r>
    </w:p>
    <w:p>
      <w:pPr>
        <w:jc w:val="center"/>
      </w:pPr>
      <w:r>
        <w:drawing>
          <wp:inline xmlns:a="http://schemas.openxmlformats.org/drawingml/2006/main" xmlns:pic="http://schemas.openxmlformats.org/drawingml/2006/picture">
            <wp:extent cx="4140000" cy="49450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31"/>
                    <a:stretch>
                      <a:fillRect/>
                    </a:stretch>
                  </pic:blipFill>
                  <pic:spPr>
                    <a:xfrm>
                      <a:off x="0" y="0"/>
                      <a:ext cx="4140000" cy="4945000"/>
                    </a:xfrm>
                    <a:prstGeom prst="rect"/>
                  </pic:spPr>
                </pic:pic>
              </a:graphicData>
            </a:graphic>
          </wp:inline>
        </w:drawing>
      </w:r>
    </w:p>
    <w:p>
      <w:pPr>
        <w:pStyle w:val="a6"/>
      </w:pPr>
      <w:r>
        <w:t>图1 两阶段结构相似性检索框架</w:t>
      </w:r>
    </w:p>
    <w:p>
      <w:pPr>
        <w:pStyle w:val="2"/>
      </w:pPr>
      <w:r>
        <w:t>3.1第一阶段：结构体系识别</w:t>
      </w:r>
    </w:p>
    <w:p>
      <w:pPr/>
      <w:r>
        <w:t>结构体系识别采用“以检索代分类”的策略，不依赖任何训练模型：以库内其余图纸的标准化描述子为参照样本，计算查询描述子与全部参照样本的余弦相似度，取相似度最高的3个样本，以其结构体系类型多数投票确定预测类型[9]。需要说明两点：其一，本文报告的识别准确率采用库内留一检索式口径，即每张图纸在查询时以其余105张图纸为参照，不涉及独立测试集；其二，对3个近邻相似度作softmax归一化、以预测类型的累计概率作为“近邻投票置信度”，该置信度是相似度归一化的相对指标，不是统计意义上的校准分类概率，仅用于结果排序与人工复核参考。在106张图纸的库内留一口径下，该方法的Top-1识别准确率为87.7%，表明统计描述子对结构体系已具备较强的判别力。</w:t>
      </w:r>
    </w:p>
    <w:p>
      <w:pPr>
        <w:pStyle w:val="2"/>
      </w:pPr>
      <w:r>
        <w:t>3.2第二阶段：类内相似检索</w:t>
      </w:r>
    </w:p>
    <w:p>
      <w:pPr/>
      <w:r>
        <w:t>确定查询图纸的结构类型后，仅在同类型候选集内进行检索。设查询q的同类型候选集为：</w:t>
      </w:r>
    </w:p>
    <w:p>
      <w:pPr>
        <w:jc w:val="center"/>
      </w:pPr>
      <w:r>
        <w:rPr>
          <w:i/>
        </w:rPr>
        <w:t>C(q) = { xⱼ | type(xⱼ) = type(q)，xⱼ ≠ q }　　(3)</w:t>
      </w:r>
    </w:p>
    <w:p>
      <w:pPr/>
      <w:r>
        <w:t>本文对曼哈顿距离、欧氏距离与余弦相似度三种度量方式进行比较。以曼哈顿距离为例，查询与候选之间的距离为：</w:t>
      </w:r>
    </w:p>
    <w:p>
      <w:pPr>
        <w:jc w:val="center"/>
      </w:pPr>
      <w:r>
        <w:rPr>
          <w:i/>
        </w:rPr>
        <w:t>d(q, xⱼ) = Σᵢ₌₁¹¹ | zq,ᵢ − zⱼ,ᵢ |　　(4)</w:t>
      </w:r>
    </w:p>
    <w:p>
      <w:pPr/>
      <w:r>
        <w:t>最终检索函数定义为候选集内按距离升序取前K个：</w:t>
      </w:r>
    </w:p>
    <w:p>
      <w:pPr>
        <w:jc w:val="center"/>
      </w:pPr>
      <w:r>
        <w:rPr>
          <w:i/>
        </w:rPr>
        <w:t>R_K(q) = TopK_{xⱼ ∈ C(q)} [ −d(q, xⱼ) ]　　(5)</w:t>
      </w:r>
    </w:p>
    <w:p>
      <w:pPr/>
      <w:r>
        <w:t>该策略保证结构相似性只在同一结构体系内比较，避免了不同体系之间因统计量巧合接近而产生的误匹配，与结构工程中“先看体系、再看细部”的认知习惯一致。式(3)～(5)共同构成了从描述子到检索结果的完整数学链条：x → z → type(q) → C(q) → d(q, xⱼ) → R_K(q)。</w:t>
      </w:r>
    </w:p>
    <w:p>
      <w:pPr>
        <w:pStyle w:val="2"/>
      </w:pPr>
      <w:r>
        <w:t>3.3深度图表征对照方法</w:t>
      </w:r>
    </w:p>
    <w:p>
      <w:pPr/>
      <w:r>
        <w:t>为考察深度表征学习方法在该任务上的表现，本文以图神经网络作为对照方法[10,12]：将结构平面构件集合建模为无向图，构件为节点，以质心K近邻（k=6）确定节点连接，节点间欧氏距离作为边属性；节点特征为构件类型独热编码、面积、跨度、壁厚与长细比等9维。图编码器采用3层GraphSAGE卷积[12]加全局均值池化与线性投影，输出128维图嵌入与3类分类logits，以结构类型分类的交叉熵损失训练（训练/验证按80/20划分，随机种子42），取验证准确率最优的检查点。GNN检索以128维嵌入的余弦相似度排序；Hybrid方法将128维GNN嵌入与标准化11维统计描述子拼接为139维向量后作余弦检索。需要强调，GNN在本文中仅作为深度对照方法，两阶段检索框架本身不依赖任何训练模型。</w:t>
      </w:r>
    </w:p>
    <w:p>
      <w:pPr>
        <w:pStyle w:val="1"/>
      </w:pPr>
      <w:r>
        <w:t>4 结构相似性专家评价基准</w:t>
      </w:r>
    </w:p>
    <w:p>
      <w:pPr>
        <w:pStyle w:val="2"/>
      </w:pPr>
      <w:r>
        <w:t>4.1项目归属不能作为结构相似性真值</w:t>
      </w:r>
    </w:p>
    <w:p>
      <w:pPr/>
      <w:r>
        <w:t>以往案例检索研究常以“同项目”作为案例相关性的近似判据。为检验这一代理的可靠性，本文首先邀请结构工程师对76对案例进行0～3分的相似性评分（0=不相似，3=高度相似），统计结果见表4。</w:t>
      </w:r>
    </w:p>
    <w:p>
      <w:pPr>
        <w:pStyle w:val="a6"/>
      </w:pPr>
      <w:r>
        <w:t>表4 同项目与跨项目案例对专家评分对比（0～3分制，76对）</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Borders>
              <w:bottom w:val="single" w:sz="6" w:space="0" w:color="000000"/>
            </w:tcBorders>
          </w:tcPr>
          <w:p>
            <w:pPr>
              <w:jc w:val="center"/>
            </w:pPr>
            <w:r>
              <w:rPr>
                <w:b/>
                <w:sz w:val="18"/>
                <w:rFonts w:eastAsia="宋体"/>
              </w:rPr>
              <w:t>对类型</w:t>
            </w:r>
          </w:p>
        </w:tc>
        <w:tc>
          <w:tcPr>
            <w:tcW w:type="dxa" w:w="2409"/>
            <w:tcBorders>
              <w:bottom w:val="single" w:sz="6" w:space="0" w:color="000000"/>
            </w:tcBorders>
          </w:tcPr>
          <w:p>
            <w:pPr>
              <w:jc w:val="center"/>
            </w:pPr>
            <w:r>
              <w:rPr>
                <w:b/>
                <w:sz w:val="18"/>
                <w:rFonts w:eastAsia="宋体"/>
              </w:rPr>
              <w:t>对数</w:t>
            </w:r>
          </w:p>
        </w:tc>
        <w:tc>
          <w:tcPr>
            <w:tcW w:type="dxa" w:w="2409"/>
            <w:tcBorders>
              <w:bottom w:val="single" w:sz="6" w:space="0" w:color="000000"/>
            </w:tcBorders>
          </w:tcPr>
          <w:p>
            <w:pPr>
              <w:jc w:val="center"/>
            </w:pPr>
            <w:r>
              <w:rPr>
                <w:b/>
                <w:sz w:val="18"/>
                <w:rFonts w:eastAsia="宋体"/>
              </w:rPr>
              <w:t>平均分</w:t>
            </w:r>
          </w:p>
        </w:tc>
        <w:tc>
          <w:tcPr>
            <w:tcW w:type="dxa" w:w="2409"/>
            <w:tcBorders>
              <w:bottom w:val="single" w:sz="6" w:space="0" w:color="000000"/>
            </w:tcBorders>
          </w:tcPr>
          <w:p>
            <w:pPr>
              <w:jc w:val="center"/>
            </w:pPr>
            <w:r>
              <w:rPr>
                <w:b/>
                <w:sz w:val="18"/>
                <w:rFonts w:eastAsia="宋体"/>
              </w:rPr>
              <w:t>≥2分比例</w:t>
            </w:r>
          </w:p>
        </w:tc>
      </w:tr>
      <w:tr>
        <w:tc>
          <w:tcPr>
            <w:tcW w:type="dxa" w:w="2409"/>
          </w:tcPr>
          <w:p>
            <w:pPr>
              <w:jc w:val="center"/>
            </w:pPr>
            <w:r>
              <w:rPr>
                <w:b w:val="0"/>
                <w:sz w:val="18"/>
                <w:rFonts w:eastAsia="宋体"/>
              </w:rPr>
              <w:t>同项目</w:t>
            </w:r>
          </w:p>
        </w:tc>
        <w:tc>
          <w:tcPr>
            <w:tcW w:type="dxa" w:w="2409"/>
          </w:tcPr>
          <w:p>
            <w:pPr>
              <w:jc w:val="center"/>
            </w:pPr>
            <w:r>
              <w:rPr>
                <w:b w:val="0"/>
                <w:sz w:val="18"/>
                <w:rFonts w:eastAsia="宋体"/>
              </w:rPr>
              <w:t>12</w:t>
            </w:r>
          </w:p>
        </w:tc>
        <w:tc>
          <w:tcPr>
            <w:tcW w:type="dxa" w:w="2409"/>
          </w:tcPr>
          <w:p>
            <w:pPr>
              <w:jc w:val="center"/>
            </w:pPr>
            <w:r>
              <w:rPr>
                <w:b w:val="0"/>
                <w:sz w:val="18"/>
                <w:rFonts w:eastAsia="宋体"/>
              </w:rPr>
              <w:t>1.58</w:t>
            </w:r>
          </w:p>
        </w:tc>
        <w:tc>
          <w:tcPr>
            <w:tcW w:type="dxa" w:w="2409"/>
          </w:tcPr>
          <w:p>
            <w:pPr>
              <w:jc w:val="center"/>
            </w:pPr>
            <w:r>
              <w:rPr>
                <w:b w:val="0"/>
                <w:sz w:val="18"/>
                <w:rFonts w:eastAsia="宋体"/>
              </w:rPr>
              <w:t>50%</w:t>
            </w:r>
          </w:p>
        </w:tc>
      </w:tr>
      <w:tr>
        <w:tc>
          <w:tcPr>
            <w:tcW w:type="dxa" w:w="2409"/>
          </w:tcPr>
          <w:p>
            <w:pPr>
              <w:jc w:val="center"/>
            </w:pPr>
            <w:r>
              <w:rPr>
                <w:b w:val="0"/>
                <w:sz w:val="18"/>
                <w:rFonts w:eastAsia="宋体"/>
              </w:rPr>
              <w:t>跨项目</w:t>
            </w:r>
          </w:p>
        </w:tc>
        <w:tc>
          <w:tcPr>
            <w:tcW w:type="dxa" w:w="2409"/>
          </w:tcPr>
          <w:p>
            <w:pPr>
              <w:jc w:val="center"/>
            </w:pPr>
            <w:r>
              <w:rPr>
                <w:b w:val="0"/>
                <w:sz w:val="18"/>
                <w:rFonts w:eastAsia="宋体"/>
              </w:rPr>
              <w:t>64</w:t>
            </w:r>
          </w:p>
        </w:tc>
        <w:tc>
          <w:tcPr>
            <w:tcW w:type="dxa" w:w="2409"/>
          </w:tcPr>
          <w:p>
            <w:pPr>
              <w:jc w:val="center"/>
            </w:pPr>
            <w:r>
              <w:rPr>
                <w:b w:val="0"/>
                <w:sz w:val="18"/>
                <w:rFonts w:eastAsia="宋体"/>
              </w:rPr>
              <w:t>0.55</w:t>
            </w:r>
          </w:p>
        </w:tc>
        <w:tc>
          <w:tcPr>
            <w:tcW w:type="dxa" w:w="2409"/>
          </w:tcPr>
          <w:p>
            <w:pPr>
              <w:jc w:val="center"/>
            </w:pPr>
            <w:r>
              <w:rPr>
                <w:b w:val="0"/>
                <w:sz w:val="18"/>
                <w:rFonts w:eastAsia="宋体"/>
              </w:rPr>
              <w:t>11%</w:t>
            </w:r>
          </w:p>
        </w:tc>
      </w:tr>
    </w:tbl>
    <w:p>
      <w:pPr/>
      <w:r>
        <w:t>结果显示，同项目案例对的平均相似度确实更高，项目归属具有一定先验价值；但同项目对中有一半被专家判为不相似（评分≤1），而跨项目对中仍有11%被判断为具有参考价值。这说明“同项目”只能作为弱标签，不能作为结构相似性的真值。因此本文后续评价以专家评分为唯一相关性依据，项目归属仅作为评估分析维度。</w:t>
      </w:r>
    </w:p>
    <w:p>
      <w:pPr>
        <w:pStyle w:val="2"/>
      </w:pPr>
      <w:r>
        <w:t>4.2专家评分协议与基准构建</w:t>
      </w:r>
    </w:p>
    <w:p>
      <w:pPr/>
      <w:r>
        <w:t>基于上述认识，本文构建专家结构相似性评价基准。查询选取：从5个不同工程项目中选取15个查询，框架、框剪、剪力墙三类各5个；其中刻意包含所在项目仅1张图纸的查询，使该查询只能从跨项目候选中获得相似案例，避免“同项目自动存在正样本”的评价捷径。候选生成：对每个查询，将三条检索路线（统计描述子、GNN、Hybrid）Top-5结果的并集与2个困难负样本（同类型但最不相似）作为待评候选，共获得171对有效标注。</w:t>
      </w:r>
    </w:p>
    <w:p>
      <w:pPr/>
      <w:r>
        <w:t>评分协议方面，评分由一名具有结构设计经验的工程师完成：评分表仅包含查询与候选图纸，不显示候选来自哪条检索路线（对方法来源盲评），以避免评价偏向某一方法；图纸文件名中自然包含项目归属信息，这与本文“评估项目感知”的定位一致。评分采用0～5分等级制（表5）。评分分布为：0分109对、1分39对、2分12对、3分9对、4分2对、5分0对；按评分≥3为相关的口径，共有11对相关对。专家评分总体偏严，与工程上真正结构相似的案例稀少的实际情况相符，因此本文更强调方法间的相对比较而非指标绝对值。需要说明，当前标注由单一专家完成，尚未进行多专家一致性检验，该问题在第6.5节局限性部分进一步讨论。</w:t>
      </w:r>
    </w:p>
    <w:p>
      <w:pPr>
        <w:pStyle w:val="a6"/>
      </w:pPr>
      <w:r>
        <w:t>表5 专家相似性评分等级</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4819"/>
        <w:gridCol w:w="4819"/>
      </w:tblGrid>
      <w:tr>
        <w:tc>
          <w:tcPr>
            <w:tcW w:type="dxa" w:w="4819"/>
            <w:tcBorders>
              <w:bottom w:val="single" w:sz="6" w:space="0" w:color="000000"/>
            </w:tcBorders>
          </w:tcPr>
          <w:p>
            <w:pPr>
              <w:jc w:val="center"/>
            </w:pPr>
            <w:r>
              <w:rPr>
                <w:b/>
                <w:sz w:val="18"/>
                <w:rFonts w:eastAsia="宋体"/>
              </w:rPr>
              <w:t>评分</w:t>
            </w:r>
          </w:p>
        </w:tc>
        <w:tc>
          <w:tcPr>
            <w:tcW w:type="dxa" w:w="4819"/>
            <w:tcBorders>
              <w:bottom w:val="single" w:sz="6" w:space="0" w:color="000000"/>
            </w:tcBorders>
          </w:tcPr>
          <w:p>
            <w:pPr>
              <w:jc w:val="center"/>
            </w:pPr>
            <w:r>
              <w:rPr>
                <w:b/>
                <w:sz w:val="18"/>
                <w:rFonts w:eastAsia="宋体"/>
              </w:rPr>
              <w:t>含义</w:t>
            </w:r>
          </w:p>
        </w:tc>
      </w:tr>
      <w:tr>
        <w:tc>
          <w:tcPr>
            <w:tcW w:type="dxa" w:w="4819"/>
          </w:tcPr>
          <w:p>
            <w:pPr>
              <w:jc w:val="center"/>
            </w:pPr>
            <w:r>
              <w:rPr>
                <w:b w:val="0"/>
                <w:sz w:val="18"/>
                <w:rFonts w:eastAsia="宋体"/>
              </w:rPr>
              <w:t>0</w:t>
            </w:r>
          </w:p>
        </w:tc>
        <w:tc>
          <w:tcPr>
            <w:tcW w:type="dxa" w:w="4819"/>
          </w:tcPr>
          <w:p>
            <w:pPr>
              <w:jc w:val="center"/>
            </w:pPr>
            <w:r>
              <w:rPr>
                <w:b w:val="0"/>
                <w:sz w:val="18"/>
                <w:rFonts w:eastAsia="宋体"/>
              </w:rPr>
              <w:t>基本不相似，无参考价值</w:t>
            </w:r>
          </w:p>
        </w:tc>
      </w:tr>
      <w:tr>
        <w:tc>
          <w:tcPr>
            <w:tcW w:type="dxa" w:w="4819"/>
          </w:tcPr>
          <w:p>
            <w:pPr>
              <w:jc w:val="center"/>
            </w:pPr>
            <w:r>
              <w:rPr>
                <w:b w:val="0"/>
                <w:sz w:val="18"/>
                <w:rFonts w:eastAsia="宋体"/>
              </w:rPr>
              <w:t>1</w:t>
            </w:r>
          </w:p>
        </w:tc>
        <w:tc>
          <w:tcPr>
            <w:tcW w:type="dxa" w:w="4819"/>
          </w:tcPr>
          <w:p>
            <w:pPr>
              <w:jc w:val="center"/>
            </w:pPr>
            <w:r>
              <w:rPr>
                <w:b w:val="0"/>
                <w:sz w:val="18"/>
                <w:rFonts w:eastAsia="宋体"/>
              </w:rPr>
              <w:t>弱相关</w:t>
            </w:r>
          </w:p>
        </w:tc>
      </w:tr>
      <w:tr>
        <w:tc>
          <w:tcPr>
            <w:tcW w:type="dxa" w:w="4819"/>
          </w:tcPr>
          <w:p>
            <w:pPr>
              <w:jc w:val="center"/>
            </w:pPr>
            <w:r>
              <w:rPr>
                <w:b w:val="0"/>
                <w:sz w:val="18"/>
                <w:rFonts w:eastAsia="宋体"/>
              </w:rPr>
              <w:t>2</w:t>
            </w:r>
          </w:p>
        </w:tc>
        <w:tc>
          <w:tcPr>
            <w:tcW w:type="dxa" w:w="4819"/>
          </w:tcPr>
          <w:p>
            <w:pPr>
              <w:jc w:val="center"/>
            </w:pPr>
            <w:r>
              <w:rPr>
                <w:b w:val="0"/>
                <w:sz w:val="18"/>
                <w:rFonts w:eastAsia="宋体"/>
              </w:rPr>
              <w:t>有一定相似性</w:t>
            </w:r>
          </w:p>
        </w:tc>
      </w:tr>
      <w:tr>
        <w:tc>
          <w:tcPr>
            <w:tcW w:type="dxa" w:w="4819"/>
          </w:tcPr>
          <w:p>
            <w:pPr>
              <w:jc w:val="center"/>
            </w:pPr>
            <w:r>
              <w:rPr>
                <w:b w:val="0"/>
                <w:sz w:val="18"/>
                <w:rFonts w:eastAsia="宋体"/>
              </w:rPr>
              <w:t>3</w:t>
            </w:r>
          </w:p>
        </w:tc>
        <w:tc>
          <w:tcPr>
            <w:tcW w:type="dxa" w:w="4819"/>
          </w:tcPr>
          <w:p>
            <w:pPr>
              <w:jc w:val="center"/>
            </w:pPr>
            <w:r>
              <w:rPr>
                <w:b w:val="0"/>
                <w:sz w:val="18"/>
                <w:rFonts w:eastAsia="宋体"/>
              </w:rPr>
              <w:t>有明确参考价值（相关阈值）</w:t>
            </w:r>
          </w:p>
        </w:tc>
      </w:tr>
      <w:tr>
        <w:tc>
          <w:tcPr>
            <w:tcW w:type="dxa" w:w="4819"/>
          </w:tcPr>
          <w:p>
            <w:pPr>
              <w:jc w:val="center"/>
            </w:pPr>
            <w:r>
              <w:rPr>
                <w:b w:val="0"/>
                <w:sz w:val="18"/>
                <w:rFonts w:eastAsia="宋体"/>
              </w:rPr>
              <w:t>4</w:t>
            </w:r>
          </w:p>
        </w:tc>
        <w:tc>
          <w:tcPr>
            <w:tcW w:type="dxa" w:w="4819"/>
          </w:tcPr>
          <w:p>
            <w:pPr>
              <w:jc w:val="center"/>
            </w:pPr>
            <w:r>
              <w:rPr>
                <w:b w:val="0"/>
                <w:sz w:val="18"/>
                <w:rFonts w:eastAsia="宋体"/>
              </w:rPr>
              <w:t>很相似，参考价值高</w:t>
            </w:r>
          </w:p>
        </w:tc>
      </w:tr>
      <w:tr>
        <w:tc>
          <w:tcPr>
            <w:tcW w:type="dxa" w:w="4819"/>
          </w:tcPr>
          <w:p>
            <w:pPr>
              <w:jc w:val="center"/>
            </w:pPr>
            <w:r>
              <w:rPr>
                <w:b w:val="0"/>
                <w:sz w:val="18"/>
                <w:rFonts w:eastAsia="宋体"/>
              </w:rPr>
              <w:t>5</w:t>
            </w:r>
          </w:p>
        </w:tc>
        <w:tc>
          <w:tcPr>
            <w:tcW w:type="dxa" w:w="4819"/>
          </w:tcPr>
          <w:p>
            <w:pPr>
              <w:jc w:val="center"/>
            </w:pPr>
            <w:r>
              <w:rPr>
                <w:b w:val="0"/>
                <w:sz w:val="18"/>
                <w:rFonts w:eastAsia="宋体"/>
              </w:rPr>
              <w:t>高度相似，可直接作为主要参考</w:t>
            </w:r>
          </w:p>
        </w:tc>
      </w:tr>
    </w:tbl>
    <w:p>
      <w:pPr>
        <w:pStyle w:val="2"/>
      </w:pPr>
      <w:r>
        <w:t>4.3评价指标</w:t>
      </w:r>
    </w:p>
    <w:p>
      <w:pPr/>
      <w:r>
        <w:t>本文采用信息检索的标准指标进行评价[18]。归一化折损累计增益（normalized discounted cumulative gain，NDCG）综合考虑相关案例在排序中的位置与专家评分等级：</w:t>
      </w:r>
    </w:p>
    <w:p>
      <w:pPr>
        <w:jc w:val="center"/>
      </w:pPr>
      <w:r>
        <w:rPr>
          <w:i/>
        </w:rPr>
        <w:t>NDCG@K = Σᵢ₌₁ᴷ (2^relᵢ − 1) / log₂(1 + i) ÷ IDCG@K　　(6)</w:t>
      </w:r>
    </w:p>
    <w:p>
      <w:pPr/>
      <w:r>
        <w:t>其中relᵢ为排序第i位案例的专家评分，IDCG@K为理想排序下可达到的最大值。Recall@K度量前K个结果召回的相关案例比例；MeanScore@K为前K个结果的平均专家评分，直接反映检索结果的工程参考价值，是面向工程师视角的指标；相关判据为专家评分≥3。需要指出，由于NDCG采用分级增益，即使随机排序也能命中低分案例而获得不低的NDCG，因此本文以Recall与MeanScore作为主要参照，NDCG用于方法间相对排序。</w:t>
      </w:r>
    </w:p>
    <w:p>
      <w:pPr>
        <w:pStyle w:val="2"/>
      </w:pPr>
      <w:r>
        <w:t>4.4项目身份置换鲁棒性验证</w:t>
      </w:r>
    </w:p>
    <w:p>
      <w:pPr/>
      <w:r>
        <w:t>在方法学原则上，本文严格执行“检索项目无关、评估项目感知”：图纸的项目名称不参与特征构建、类型识别与相似度排序的任何计算，仅在评估阶段用于同项目/跨项目子集拆分。为实证验证该原则，本文进行了项目名置换检验：对20个项目名进行两次确定性改名（随机种子42与7，分别改名19与20个项目名），重新运行全部检索流程。结果如表6所示，结构体系识别结果与三条检索路线的全部指标在置换前后完全一致，表明检索系统对项目身份置换不变，项目信息确实未参与检索计算。</w:t>
      </w:r>
    </w:p>
    <w:p>
      <w:pPr>
        <w:pStyle w:val="a6"/>
      </w:pPr>
      <w:r>
        <w:t>表6 项目身份置换鲁棒性验证</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Borders>
              <w:bottom w:val="single" w:sz="6" w:space="0" w:color="000000"/>
            </w:tcBorders>
          </w:tcPr>
          <w:p>
            <w:pPr>
              <w:jc w:val="center"/>
            </w:pPr>
            <w:r>
              <w:rPr>
                <w:b/>
                <w:sz w:val="18"/>
                <w:rFonts w:eastAsia="宋体"/>
              </w:rPr>
              <w:t>指标</w:t>
            </w:r>
          </w:p>
        </w:tc>
        <w:tc>
          <w:tcPr>
            <w:tcW w:type="dxa" w:w="2409"/>
            <w:tcBorders>
              <w:bottom w:val="single" w:sz="6" w:space="0" w:color="000000"/>
            </w:tcBorders>
          </w:tcPr>
          <w:p>
            <w:pPr>
              <w:jc w:val="center"/>
            </w:pPr>
            <w:r>
              <w:rPr>
                <w:b/>
                <w:sz w:val="18"/>
                <w:rFonts w:eastAsia="宋体"/>
              </w:rPr>
              <w:t>原始项目名</w:t>
            </w:r>
          </w:p>
        </w:tc>
        <w:tc>
          <w:tcPr>
            <w:tcW w:type="dxa" w:w="2409"/>
            <w:tcBorders>
              <w:bottom w:val="single" w:sz="6" w:space="0" w:color="000000"/>
            </w:tcBorders>
          </w:tcPr>
          <w:p>
            <w:pPr>
              <w:jc w:val="center"/>
            </w:pPr>
            <w:r>
              <w:rPr>
                <w:b/>
                <w:sz w:val="18"/>
                <w:rFonts w:eastAsia="宋体"/>
              </w:rPr>
              <w:t>置换1（种子42）</w:t>
            </w:r>
          </w:p>
        </w:tc>
        <w:tc>
          <w:tcPr>
            <w:tcW w:type="dxa" w:w="2409"/>
            <w:tcBorders>
              <w:bottom w:val="single" w:sz="6" w:space="0" w:color="000000"/>
            </w:tcBorders>
          </w:tcPr>
          <w:p>
            <w:pPr>
              <w:jc w:val="center"/>
            </w:pPr>
            <w:r>
              <w:rPr>
                <w:b/>
                <w:sz w:val="18"/>
                <w:rFonts w:eastAsia="宋体"/>
              </w:rPr>
              <w:t>置换2（种子7）</w:t>
            </w:r>
          </w:p>
        </w:tc>
      </w:tr>
      <w:tr>
        <w:tc>
          <w:tcPr>
            <w:tcW w:type="dxa" w:w="2409"/>
          </w:tcPr>
          <w:p>
            <w:pPr>
              <w:jc w:val="center"/>
            </w:pPr>
            <w:r>
              <w:rPr>
                <w:b w:val="0"/>
                <w:sz w:val="18"/>
                <w:rFonts w:eastAsia="宋体"/>
              </w:rPr>
              <w:t>结构体系识别Top-1准确率</w:t>
            </w:r>
          </w:p>
        </w:tc>
        <w:tc>
          <w:tcPr>
            <w:tcW w:type="dxa" w:w="2409"/>
          </w:tcPr>
          <w:p>
            <w:pPr>
              <w:jc w:val="center"/>
            </w:pPr>
            <w:r>
              <w:rPr>
                <w:b w:val="0"/>
                <w:sz w:val="18"/>
                <w:rFonts w:eastAsia="宋体"/>
              </w:rPr>
              <w:t>87.7%</w:t>
            </w:r>
          </w:p>
        </w:tc>
        <w:tc>
          <w:tcPr>
            <w:tcW w:type="dxa" w:w="2409"/>
          </w:tcPr>
          <w:p>
            <w:pPr>
              <w:jc w:val="center"/>
            </w:pPr>
            <w:r>
              <w:rPr>
                <w:b w:val="0"/>
                <w:sz w:val="18"/>
                <w:rFonts w:eastAsia="宋体"/>
              </w:rPr>
              <w:t>87.7%</w:t>
            </w:r>
          </w:p>
        </w:tc>
        <w:tc>
          <w:tcPr>
            <w:tcW w:type="dxa" w:w="2409"/>
          </w:tcPr>
          <w:p>
            <w:pPr>
              <w:jc w:val="center"/>
            </w:pPr>
            <w:r>
              <w:rPr>
                <w:b w:val="0"/>
                <w:sz w:val="18"/>
                <w:rFonts w:eastAsia="宋体"/>
              </w:rPr>
              <w:t>87.7%</w:t>
            </w:r>
          </w:p>
        </w:tc>
      </w:tr>
      <w:tr>
        <w:tc>
          <w:tcPr>
            <w:tcW w:type="dxa" w:w="2409"/>
          </w:tcPr>
          <w:p>
            <w:pPr>
              <w:jc w:val="center"/>
            </w:pPr>
            <w:r>
              <w:rPr>
                <w:b w:val="0"/>
                <w:sz w:val="18"/>
                <w:rFonts w:eastAsia="宋体"/>
              </w:rPr>
              <w:t>统计路线 NDCG@3</w:t>
            </w:r>
          </w:p>
        </w:tc>
        <w:tc>
          <w:tcPr>
            <w:tcW w:type="dxa" w:w="2409"/>
          </w:tcPr>
          <w:p>
            <w:pPr>
              <w:jc w:val="center"/>
            </w:pPr>
            <w:r>
              <w:rPr>
                <w:b w:val="0"/>
                <w:sz w:val="18"/>
                <w:rFonts w:eastAsia="宋体"/>
              </w:rPr>
              <w:t>0.7214</w:t>
            </w:r>
          </w:p>
        </w:tc>
        <w:tc>
          <w:tcPr>
            <w:tcW w:type="dxa" w:w="2409"/>
          </w:tcPr>
          <w:p>
            <w:pPr>
              <w:jc w:val="center"/>
            </w:pPr>
            <w:r>
              <w:rPr>
                <w:b w:val="0"/>
                <w:sz w:val="18"/>
                <w:rFonts w:eastAsia="宋体"/>
              </w:rPr>
              <w:t>0.7214</w:t>
            </w:r>
          </w:p>
        </w:tc>
        <w:tc>
          <w:tcPr>
            <w:tcW w:type="dxa" w:w="2409"/>
          </w:tcPr>
          <w:p>
            <w:pPr>
              <w:jc w:val="center"/>
            </w:pPr>
            <w:r>
              <w:rPr>
                <w:b w:val="0"/>
                <w:sz w:val="18"/>
                <w:rFonts w:eastAsia="宋体"/>
              </w:rPr>
              <w:t>0.7214</w:t>
            </w:r>
          </w:p>
        </w:tc>
      </w:tr>
      <w:tr>
        <w:tc>
          <w:tcPr>
            <w:tcW w:type="dxa" w:w="2409"/>
          </w:tcPr>
          <w:p>
            <w:pPr>
              <w:jc w:val="center"/>
            </w:pPr>
            <w:r>
              <w:rPr>
                <w:b w:val="0"/>
                <w:sz w:val="18"/>
                <w:rFonts w:eastAsia="宋体"/>
              </w:rPr>
              <w:t>统计路线 Recall@3</w:t>
            </w:r>
          </w:p>
        </w:tc>
        <w:tc>
          <w:tcPr>
            <w:tcW w:type="dxa" w:w="2409"/>
          </w:tcPr>
          <w:p>
            <w:pPr>
              <w:jc w:val="center"/>
            </w:pPr>
            <w:r>
              <w:rPr>
                <w:b w:val="0"/>
                <w:sz w:val="18"/>
                <w:rFonts w:eastAsia="宋体"/>
              </w:rPr>
              <w:t>26.7%</w:t>
            </w:r>
          </w:p>
        </w:tc>
        <w:tc>
          <w:tcPr>
            <w:tcW w:type="dxa" w:w="2409"/>
          </w:tcPr>
          <w:p>
            <w:pPr>
              <w:jc w:val="center"/>
            </w:pPr>
            <w:r>
              <w:rPr>
                <w:b w:val="0"/>
                <w:sz w:val="18"/>
                <w:rFonts w:eastAsia="宋体"/>
              </w:rPr>
              <w:t>26.7%</w:t>
            </w:r>
          </w:p>
        </w:tc>
        <w:tc>
          <w:tcPr>
            <w:tcW w:type="dxa" w:w="2409"/>
          </w:tcPr>
          <w:p>
            <w:pPr>
              <w:jc w:val="center"/>
            </w:pPr>
            <w:r>
              <w:rPr>
                <w:b w:val="0"/>
                <w:sz w:val="18"/>
                <w:rFonts w:eastAsia="宋体"/>
              </w:rPr>
              <w:t>26.7%</w:t>
            </w:r>
          </w:p>
        </w:tc>
      </w:tr>
      <w:tr>
        <w:tc>
          <w:tcPr>
            <w:tcW w:type="dxa" w:w="2409"/>
          </w:tcPr>
          <w:p>
            <w:pPr>
              <w:jc w:val="center"/>
            </w:pPr>
            <w:r>
              <w:rPr>
                <w:b w:val="0"/>
                <w:sz w:val="18"/>
                <w:rFonts w:eastAsia="宋体"/>
              </w:rPr>
              <w:t>GNN路线 NDCG@3</w:t>
            </w:r>
          </w:p>
        </w:tc>
        <w:tc>
          <w:tcPr>
            <w:tcW w:type="dxa" w:w="2409"/>
          </w:tcPr>
          <w:p>
            <w:pPr>
              <w:jc w:val="center"/>
            </w:pPr>
            <w:r>
              <w:rPr>
                <w:b w:val="0"/>
                <w:sz w:val="18"/>
                <w:rFonts w:eastAsia="宋体"/>
              </w:rPr>
              <w:t>0.5947</w:t>
            </w:r>
          </w:p>
        </w:tc>
        <w:tc>
          <w:tcPr>
            <w:tcW w:type="dxa" w:w="2409"/>
          </w:tcPr>
          <w:p>
            <w:pPr>
              <w:jc w:val="center"/>
            </w:pPr>
            <w:r>
              <w:rPr>
                <w:b w:val="0"/>
                <w:sz w:val="18"/>
                <w:rFonts w:eastAsia="宋体"/>
              </w:rPr>
              <w:t>0.5947</w:t>
            </w:r>
          </w:p>
        </w:tc>
        <w:tc>
          <w:tcPr>
            <w:tcW w:type="dxa" w:w="2409"/>
          </w:tcPr>
          <w:p>
            <w:pPr>
              <w:jc w:val="center"/>
            </w:pPr>
            <w:r>
              <w:rPr>
                <w:b w:val="0"/>
                <w:sz w:val="18"/>
                <w:rFonts w:eastAsia="宋体"/>
              </w:rPr>
              <w:t>0.5947</w:t>
            </w:r>
          </w:p>
        </w:tc>
      </w:tr>
      <w:tr>
        <w:tc>
          <w:tcPr>
            <w:tcW w:type="dxa" w:w="2409"/>
          </w:tcPr>
          <w:p>
            <w:pPr>
              <w:jc w:val="center"/>
            </w:pPr>
            <w:r>
              <w:rPr>
                <w:b w:val="0"/>
                <w:sz w:val="18"/>
                <w:rFonts w:eastAsia="宋体"/>
              </w:rPr>
              <w:t>Hybrid路线 NDCG@3</w:t>
            </w:r>
          </w:p>
        </w:tc>
        <w:tc>
          <w:tcPr>
            <w:tcW w:type="dxa" w:w="2409"/>
          </w:tcPr>
          <w:p>
            <w:pPr>
              <w:jc w:val="center"/>
            </w:pPr>
            <w:r>
              <w:rPr>
                <w:b w:val="0"/>
                <w:sz w:val="18"/>
                <w:rFonts w:eastAsia="宋体"/>
              </w:rPr>
              <w:t>0.7135</w:t>
            </w:r>
          </w:p>
        </w:tc>
        <w:tc>
          <w:tcPr>
            <w:tcW w:type="dxa" w:w="2409"/>
          </w:tcPr>
          <w:p>
            <w:pPr>
              <w:jc w:val="center"/>
            </w:pPr>
            <w:r>
              <w:rPr>
                <w:b w:val="0"/>
                <w:sz w:val="18"/>
                <w:rFonts w:eastAsia="宋体"/>
              </w:rPr>
              <w:t>0.7135</w:t>
            </w:r>
          </w:p>
        </w:tc>
        <w:tc>
          <w:tcPr>
            <w:tcW w:type="dxa" w:w="2409"/>
          </w:tcPr>
          <w:p>
            <w:pPr>
              <w:jc w:val="center"/>
            </w:pPr>
            <w:r>
              <w:rPr>
                <w:b w:val="0"/>
                <w:sz w:val="18"/>
                <w:rFonts w:eastAsia="宋体"/>
              </w:rPr>
              <w:t>0.7135</w:t>
            </w:r>
          </w:p>
        </w:tc>
      </w:tr>
      <w:tr>
        <w:tc>
          <w:tcPr>
            <w:tcW w:type="dxa" w:w="2409"/>
          </w:tcPr>
          <w:p>
            <w:pPr>
              <w:jc w:val="center"/>
            </w:pPr>
            <w:r>
              <w:rPr>
                <w:b w:val="0"/>
                <w:sz w:val="18"/>
                <w:rFonts w:eastAsia="宋体"/>
              </w:rPr>
              <w:t>弱标签检索 MRR</w:t>
            </w:r>
          </w:p>
        </w:tc>
        <w:tc>
          <w:tcPr>
            <w:tcW w:type="dxa" w:w="2409"/>
          </w:tcPr>
          <w:p>
            <w:pPr>
              <w:jc w:val="center"/>
            </w:pPr>
            <w:r>
              <w:rPr>
                <w:b w:val="0"/>
                <w:sz w:val="18"/>
                <w:rFonts w:eastAsia="宋体"/>
              </w:rPr>
              <w:t>0.5800</w:t>
            </w:r>
          </w:p>
        </w:tc>
        <w:tc>
          <w:tcPr>
            <w:tcW w:type="dxa" w:w="2409"/>
          </w:tcPr>
          <w:p>
            <w:pPr>
              <w:jc w:val="center"/>
            </w:pPr>
            <w:r>
              <w:rPr>
                <w:b w:val="0"/>
                <w:sz w:val="18"/>
                <w:rFonts w:eastAsia="宋体"/>
              </w:rPr>
              <w:t>0.5800</w:t>
            </w:r>
          </w:p>
        </w:tc>
        <w:tc>
          <w:tcPr>
            <w:tcW w:type="dxa" w:w="2409"/>
          </w:tcPr>
          <w:p>
            <w:pPr>
              <w:jc w:val="center"/>
            </w:pPr>
            <w:r>
              <w:rPr>
                <w:b w:val="0"/>
                <w:sz w:val="18"/>
                <w:rFonts w:eastAsia="宋体"/>
              </w:rPr>
              <w:t>0.5800</w:t>
            </w:r>
          </w:p>
        </w:tc>
      </w:tr>
    </w:tbl>
    <w:p>
      <w:pPr>
        <w:pStyle w:val="a6"/>
      </w:pPr>
      <w:r>
        <w:t>注：统计路线此处为两阶段流水线默认度量（余弦相似度），与表7中“统计+余弦相似度”一致。</w:t>
      </w:r>
    </w:p>
    <w:p>
      <w:pPr>
        <w:pStyle w:val="1"/>
      </w:pPr>
      <w:r>
        <w:t>5 实验结果与分析</w:t>
      </w:r>
    </w:p>
    <w:p>
      <w:pPr>
        <w:pStyle w:val="2"/>
      </w:pPr>
      <w:r>
        <w:t>5.1实验设置</w:t>
      </w:r>
    </w:p>
    <w:p>
      <w:pPr/>
      <w:r>
        <w:t>全部实验在CPU上完成且结果确定（随机种子42）；构图采用KNN，k=6；GNN训练采用80/20的训练/验证划分。评价数据为第4.2节的专家基准（15个查询/171对标注）。对比方法包括：Random（随机排序，性能参照）、未标准化的原始统计描述子、GNN、Hybrid，以及分别采用欧氏距离、余弦相似度与曼哈顿距离的标准化统计描述子。</w:t>
      </w:r>
    </w:p>
    <w:p>
      <w:pPr>
        <w:pStyle w:val="2"/>
      </w:pPr>
      <w:r>
        <w:t>5.2检索方法对比</w:t>
      </w:r>
    </w:p>
    <w:p>
      <w:pPr/>
      <w:r>
        <w:t>各方法在专家基准上的性能见表7与图2。</w:t>
      </w:r>
    </w:p>
    <w:p>
      <w:pPr>
        <w:pStyle w:val="a6"/>
      </w:pPr>
      <w:r>
        <w:t>表7 各检索方法在专家基准上的性能对比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606"/>
        <w:gridCol w:w="1606"/>
        <w:gridCol w:w="1606"/>
        <w:gridCol w:w="1606"/>
        <w:gridCol w:w="1606"/>
        <w:gridCol w:w="1606"/>
      </w:tblGrid>
      <w:tr>
        <w:tc>
          <w:tcPr>
            <w:tcW w:type="dxa" w:w="1606"/>
            <w:tcBorders>
              <w:bottom w:val="single" w:sz="6" w:space="0" w:color="000000"/>
            </w:tcBorders>
          </w:tcPr>
          <w:p>
            <w:pPr>
              <w:jc w:val="center"/>
            </w:pPr>
            <w:r>
              <w:rPr>
                <w:b/>
                <w:sz w:val="18"/>
                <w:rFonts w:eastAsia="宋体"/>
              </w:rPr>
              <w:t>方法</w:t>
            </w:r>
          </w:p>
        </w:tc>
        <w:tc>
          <w:tcPr>
            <w:tcW w:type="dxa" w:w="1606"/>
            <w:tcBorders>
              <w:bottom w:val="single" w:sz="6" w:space="0" w:color="000000"/>
            </w:tcBorders>
          </w:tcPr>
          <w:p>
            <w:pPr>
              <w:jc w:val="center"/>
            </w:pPr>
            <w:r>
              <w:rPr>
                <w:b/>
                <w:sz w:val="18"/>
                <w:rFonts w:eastAsia="宋体"/>
              </w:rPr>
              <w:t>NDCG@3</w:t>
            </w:r>
          </w:p>
        </w:tc>
        <w:tc>
          <w:tcPr>
            <w:tcW w:type="dxa" w:w="1606"/>
            <w:tcBorders>
              <w:bottom w:val="single" w:sz="6" w:space="0" w:color="000000"/>
            </w:tcBorders>
          </w:tcPr>
          <w:p>
            <w:pPr>
              <w:jc w:val="center"/>
            </w:pPr>
            <w:r>
              <w:rPr>
                <w:b/>
                <w:sz w:val="18"/>
                <w:rFonts w:eastAsia="宋体"/>
              </w:rPr>
              <w:t>Recall@3</w:t>
            </w:r>
          </w:p>
        </w:tc>
        <w:tc>
          <w:tcPr>
            <w:tcW w:type="dxa" w:w="1606"/>
            <w:tcBorders>
              <w:bottom w:val="single" w:sz="6" w:space="0" w:color="000000"/>
            </w:tcBorders>
          </w:tcPr>
          <w:p>
            <w:pPr>
              <w:jc w:val="center"/>
            </w:pPr>
            <w:r>
              <w:rPr>
                <w:b/>
                <w:sz w:val="18"/>
                <w:rFonts w:eastAsia="宋体"/>
              </w:rPr>
              <w:t>NDCG@5</w:t>
            </w:r>
          </w:p>
        </w:tc>
        <w:tc>
          <w:tcPr>
            <w:tcW w:type="dxa" w:w="1606"/>
            <w:tcBorders>
              <w:bottom w:val="single" w:sz="6" w:space="0" w:color="000000"/>
            </w:tcBorders>
          </w:tcPr>
          <w:p>
            <w:pPr>
              <w:jc w:val="center"/>
            </w:pPr>
            <w:r>
              <w:rPr>
                <w:b/>
                <w:sz w:val="18"/>
                <w:rFonts w:eastAsia="宋体"/>
              </w:rPr>
              <w:t>Recall@5</w:t>
            </w:r>
          </w:p>
        </w:tc>
        <w:tc>
          <w:tcPr>
            <w:tcW w:type="dxa" w:w="1606"/>
            <w:tcBorders>
              <w:bottom w:val="single" w:sz="6" w:space="0" w:color="000000"/>
            </w:tcBorders>
          </w:tcPr>
          <w:p>
            <w:pPr>
              <w:jc w:val="center"/>
            </w:pPr>
            <w:r>
              <w:rPr>
                <w:b/>
                <w:sz w:val="18"/>
                <w:rFonts w:eastAsia="宋体"/>
              </w:rPr>
              <w:t>MeanScore@3</w:t>
            </w:r>
          </w:p>
        </w:tc>
      </w:tr>
      <w:tr>
        <w:tc>
          <w:tcPr>
            <w:tcW w:type="dxa" w:w="1606"/>
          </w:tcPr>
          <w:p>
            <w:pPr>
              <w:jc w:val="center"/>
            </w:pPr>
            <w:r>
              <w:rPr>
                <w:b w:val="0"/>
                <w:sz w:val="18"/>
                <w:rFonts w:eastAsia="宋体"/>
              </w:rPr>
              <w:t>Random</w:t>
            </w:r>
          </w:p>
        </w:tc>
        <w:tc>
          <w:tcPr>
            <w:tcW w:type="dxa" w:w="1606"/>
          </w:tcPr>
          <w:p>
            <w:pPr>
              <w:jc w:val="center"/>
            </w:pPr>
            <w:r>
              <w:rPr>
                <w:b w:val="0"/>
                <w:sz w:val="18"/>
                <w:rFonts w:eastAsia="宋体"/>
              </w:rPr>
              <w:t>0.6214</w:t>
            </w:r>
          </w:p>
        </w:tc>
        <w:tc>
          <w:tcPr>
            <w:tcW w:type="dxa" w:w="1606"/>
          </w:tcPr>
          <w:p>
            <w:pPr>
              <w:jc w:val="center"/>
            </w:pPr>
            <w:r>
              <w:rPr>
                <w:b w:val="0"/>
                <w:sz w:val="18"/>
                <w:rFonts w:eastAsia="宋体"/>
              </w:rPr>
              <w:t>15.56%</w:t>
            </w:r>
          </w:p>
        </w:tc>
        <w:tc>
          <w:tcPr>
            <w:tcW w:type="dxa" w:w="1606"/>
          </w:tcPr>
          <w:p>
            <w:pPr>
              <w:jc w:val="center"/>
            </w:pPr>
            <w:r>
              <w:rPr>
                <w:b w:val="0"/>
                <w:sz w:val="18"/>
                <w:rFonts w:eastAsia="宋体"/>
              </w:rPr>
              <w:t>0.5825</w:t>
            </w:r>
          </w:p>
        </w:tc>
        <w:tc>
          <w:tcPr>
            <w:tcW w:type="dxa" w:w="1606"/>
          </w:tcPr>
          <w:p>
            <w:pPr>
              <w:jc w:val="center"/>
            </w:pPr>
            <w:r>
              <w:rPr>
                <w:b w:val="0"/>
                <w:sz w:val="18"/>
                <w:rFonts w:eastAsia="宋体"/>
              </w:rPr>
              <w:t>26.67%</w:t>
            </w:r>
          </w:p>
        </w:tc>
        <w:tc>
          <w:tcPr>
            <w:tcW w:type="dxa" w:w="1606"/>
          </w:tcPr>
          <w:p>
            <w:pPr>
              <w:jc w:val="center"/>
            </w:pPr>
            <w:r>
              <w:rPr>
                <w:b w:val="0"/>
                <w:sz w:val="18"/>
                <w:rFonts w:eastAsia="宋体"/>
              </w:rPr>
              <w:t>0.667</w:t>
            </w:r>
          </w:p>
        </w:tc>
      </w:tr>
      <w:tr>
        <w:tc>
          <w:tcPr>
            <w:tcW w:type="dxa" w:w="1606"/>
          </w:tcPr>
          <w:p>
            <w:pPr>
              <w:jc w:val="center"/>
            </w:pPr>
            <w:r>
              <w:rPr>
                <w:b w:val="0"/>
                <w:sz w:val="18"/>
                <w:rFonts w:eastAsia="宋体"/>
              </w:rPr>
              <w:t>未标准化统计</w:t>
            </w:r>
          </w:p>
        </w:tc>
        <w:tc>
          <w:tcPr>
            <w:tcW w:type="dxa" w:w="1606"/>
          </w:tcPr>
          <w:p>
            <w:pPr>
              <w:jc w:val="center"/>
            </w:pPr>
            <w:r>
              <w:rPr>
                <w:b w:val="0"/>
                <w:sz w:val="18"/>
                <w:rFonts w:eastAsia="宋体"/>
              </w:rPr>
              <w:t>0.5394</w:t>
            </w:r>
          </w:p>
        </w:tc>
        <w:tc>
          <w:tcPr>
            <w:tcW w:type="dxa" w:w="1606"/>
          </w:tcPr>
          <w:p>
            <w:pPr>
              <w:jc w:val="center"/>
            </w:pPr>
            <w:r>
              <w:rPr>
                <w:b w:val="0"/>
                <w:sz w:val="18"/>
                <w:rFonts w:eastAsia="宋体"/>
              </w:rPr>
              <w:t>17.78%</w:t>
            </w:r>
          </w:p>
        </w:tc>
        <w:tc>
          <w:tcPr>
            <w:tcW w:type="dxa" w:w="1606"/>
          </w:tcPr>
          <w:p>
            <w:pPr>
              <w:jc w:val="center"/>
            </w:pPr>
            <w:r>
              <w:rPr>
                <w:b w:val="0"/>
                <w:sz w:val="18"/>
                <w:rFonts w:eastAsia="宋体"/>
              </w:rPr>
              <w:t>0.5882</w:t>
            </w:r>
          </w:p>
        </w:tc>
        <w:tc>
          <w:tcPr>
            <w:tcW w:type="dxa" w:w="1606"/>
          </w:tcPr>
          <w:p>
            <w:pPr>
              <w:jc w:val="center"/>
            </w:pPr>
            <w:r>
              <w:rPr>
                <w:b w:val="0"/>
                <w:sz w:val="18"/>
                <w:rFonts w:eastAsia="宋体"/>
              </w:rPr>
              <w:t>22.22%</w:t>
            </w:r>
          </w:p>
        </w:tc>
        <w:tc>
          <w:tcPr>
            <w:tcW w:type="dxa" w:w="1606"/>
          </w:tcPr>
          <w:p>
            <w:pPr>
              <w:jc w:val="center"/>
            </w:pPr>
            <w:r>
              <w:rPr>
                <w:b w:val="0"/>
                <w:sz w:val="18"/>
                <w:rFonts w:eastAsia="宋体"/>
              </w:rPr>
              <w:t>0.578</w:t>
            </w:r>
          </w:p>
        </w:tc>
      </w:tr>
      <w:tr>
        <w:tc>
          <w:tcPr>
            <w:tcW w:type="dxa" w:w="1606"/>
          </w:tcPr>
          <w:p>
            <w:pPr>
              <w:jc w:val="center"/>
            </w:pPr>
            <w:r>
              <w:rPr>
                <w:b w:val="0"/>
                <w:sz w:val="18"/>
                <w:rFonts w:eastAsia="宋体"/>
              </w:rPr>
              <w:t>GNN</w:t>
            </w:r>
          </w:p>
        </w:tc>
        <w:tc>
          <w:tcPr>
            <w:tcW w:type="dxa" w:w="1606"/>
          </w:tcPr>
          <w:p>
            <w:pPr>
              <w:jc w:val="center"/>
            </w:pPr>
            <w:r>
              <w:rPr>
                <w:b w:val="0"/>
                <w:sz w:val="18"/>
                <w:rFonts w:eastAsia="宋体"/>
              </w:rPr>
              <w:t>0.5947</w:t>
            </w:r>
          </w:p>
        </w:tc>
        <w:tc>
          <w:tcPr>
            <w:tcW w:type="dxa" w:w="1606"/>
          </w:tcPr>
          <w:p>
            <w:pPr>
              <w:jc w:val="center"/>
            </w:pPr>
            <w:r>
              <w:rPr>
                <w:b w:val="0"/>
                <w:sz w:val="18"/>
                <w:rFonts w:eastAsia="宋体"/>
              </w:rPr>
              <w:t>11.11%</w:t>
            </w:r>
          </w:p>
        </w:tc>
        <w:tc>
          <w:tcPr>
            <w:tcW w:type="dxa" w:w="1606"/>
          </w:tcPr>
          <w:p>
            <w:pPr>
              <w:jc w:val="center"/>
            </w:pPr>
            <w:r>
              <w:rPr>
                <w:b w:val="0"/>
                <w:sz w:val="18"/>
                <w:rFonts w:eastAsia="宋体"/>
              </w:rPr>
              <w:t>0.6025</w:t>
            </w:r>
          </w:p>
        </w:tc>
        <w:tc>
          <w:tcPr>
            <w:tcW w:type="dxa" w:w="1606"/>
          </w:tcPr>
          <w:p>
            <w:pPr>
              <w:jc w:val="center"/>
            </w:pPr>
            <w:r>
              <w:rPr>
                <w:b w:val="0"/>
                <w:sz w:val="18"/>
                <w:rFonts w:eastAsia="宋体"/>
              </w:rPr>
              <w:t>20.00%</w:t>
            </w:r>
          </w:p>
        </w:tc>
        <w:tc>
          <w:tcPr>
            <w:tcW w:type="dxa" w:w="1606"/>
          </w:tcPr>
          <w:p>
            <w:pPr>
              <w:jc w:val="center"/>
            </w:pPr>
            <w:r>
              <w:rPr>
                <w:b w:val="0"/>
                <w:sz w:val="18"/>
                <w:rFonts w:eastAsia="宋体"/>
              </w:rPr>
              <w:t>0.778</w:t>
            </w:r>
          </w:p>
        </w:tc>
      </w:tr>
      <w:tr>
        <w:tc>
          <w:tcPr>
            <w:tcW w:type="dxa" w:w="1606"/>
          </w:tcPr>
          <w:p>
            <w:pPr>
              <w:jc w:val="center"/>
            </w:pPr>
            <w:r>
              <w:rPr>
                <w:b w:val="0"/>
                <w:sz w:val="18"/>
                <w:rFonts w:eastAsia="宋体"/>
              </w:rPr>
              <w:t>Hybrid</w:t>
            </w:r>
          </w:p>
        </w:tc>
        <w:tc>
          <w:tcPr>
            <w:tcW w:type="dxa" w:w="1606"/>
          </w:tcPr>
          <w:p>
            <w:pPr>
              <w:jc w:val="center"/>
            </w:pPr>
            <w:r>
              <w:rPr>
                <w:b w:val="0"/>
                <w:sz w:val="18"/>
                <w:rFonts w:eastAsia="宋体"/>
              </w:rPr>
              <w:t>0.7135</w:t>
            </w:r>
          </w:p>
        </w:tc>
        <w:tc>
          <w:tcPr>
            <w:tcW w:type="dxa" w:w="1606"/>
          </w:tcPr>
          <w:p>
            <w:pPr>
              <w:jc w:val="center"/>
            </w:pPr>
            <w:r>
              <w:rPr>
                <w:b w:val="0"/>
                <w:sz w:val="18"/>
                <w:rFonts w:eastAsia="宋体"/>
              </w:rPr>
              <w:t>15.56%</w:t>
            </w:r>
          </w:p>
        </w:tc>
        <w:tc>
          <w:tcPr>
            <w:tcW w:type="dxa" w:w="1606"/>
          </w:tcPr>
          <w:p>
            <w:pPr>
              <w:jc w:val="center"/>
            </w:pPr>
            <w:r>
              <w:rPr>
                <w:b w:val="0"/>
                <w:sz w:val="18"/>
                <w:rFonts w:eastAsia="宋体"/>
              </w:rPr>
              <w:t>0.7399</w:t>
            </w:r>
          </w:p>
        </w:tc>
        <w:tc>
          <w:tcPr>
            <w:tcW w:type="dxa" w:w="1606"/>
          </w:tcPr>
          <w:p>
            <w:pPr>
              <w:jc w:val="center"/>
            </w:pPr>
            <w:r>
              <w:rPr>
                <w:b w:val="0"/>
                <w:sz w:val="18"/>
                <w:rFonts w:eastAsia="宋体"/>
              </w:rPr>
              <w:t>31.11%</w:t>
            </w:r>
          </w:p>
        </w:tc>
        <w:tc>
          <w:tcPr>
            <w:tcW w:type="dxa" w:w="1606"/>
          </w:tcPr>
          <w:p>
            <w:pPr>
              <w:jc w:val="center"/>
            </w:pPr>
            <w:r>
              <w:rPr>
                <w:b w:val="0"/>
                <w:sz w:val="18"/>
                <w:rFonts w:eastAsia="宋体"/>
              </w:rPr>
              <w:t>0.800</w:t>
            </w:r>
          </w:p>
        </w:tc>
      </w:tr>
      <w:tr>
        <w:tc>
          <w:tcPr>
            <w:tcW w:type="dxa" w:w="1606"/>
          </w:tcPr>
          <w:p>
            <w:pPr>
              <w:jc w:val="center"/>
            </w:pPr>
            <w:r>
              <w:rPr>
                <w:b w:val="0"/>
                <w:sz w:val="18"/>
                <w:rFonts w:eastAsia="宋体"/>
              </w:rPr>
              <w:t>统计+欧氏距离</w:t>
            </w:r>
          </w:p>
        </w:tc>
        <w:tc>
          <w:tcPr>
            <w:tcW w:type="dxa" w:w="1606"/>
          </w:tcPr>
          <w:p>
            <w:pPr>
              <w:jc w:val="center"/>
            </w:pPr>
            <w:r>
              <w:rPr>
                <w:b w:val="0"/>
                <w:sz w:val="18"/>
                <w:rFonts w:eastAsia="宋体"/>
              </w:rPr>
              <w:t>0.7182</w:t>
            </w:r>
          </w:p>
        </w:tc>
        <w:tc>
          <w:tcPr>
            <w:tcW w:type="dxa" w:w="1606"/>
          </w:tcPr>
          <w:p>
            <w:pPr>
              <w:jc w:val="center"/>
            </w:pPr>
            <w:r>
              <w:rPr>
                <w:b w:val="0"/>
                <w:sz w:val="18"/>
                <w:rFonts w:eastAsia="宋体"/>
              </w:rPr>
              <w:t>28.89%</w:t>
            </w:r>
          </w:p>
        </w:tc>
        <w:tc>
          <w:tcPr>
            <w:tcW w:type="dxa" w:w="1606"/>
          </w:tcPr>
          <w:p>
            <w:pPr>
              <w:jc w:val="center"/>
            </w:pPr>
            <w:r>
              <w:rPr>
                <w:b w:val="0"/>
                <w:sz w:val="18"/>
                <w:rFonts w:eastAsia="宋体"/>
              </w:rPr>
              <w:t>0.6985</w:t>
            </w:r>
          </w:p>
        </w:tc>
        <w:tc>
          <w:tcPr>
            <w:tcW w:type="dxa" w:w="1606"/>
          </w:tcPr>
          <w:p>
            <w:pPr>
              <w:jc w:val="center"/>
            </w:pPr>
            <w:r>
              <w:rPr>
                <w:b w:val="0"/>
                <w:sz w:val="18"/>
                <w:rFonts w:eastAsia="宋体"/>
              </w:rPr>
              <w:t>37.78%</w:t>
            </w:r>
          </w:p>
        </w:tc>
        <w:tc>
          <w:tcPr>
            <w:tcW w:type="dxa" w:w="1606"/>
          </w:tcPr>
          <w:p>
            <w:pPr>
              <w:jc w:val="center"/>
            </w:pPr>
            <w:r>
              <w:rPr>
                <w:b w:val="0"/>
                <w:sz w:val="18"/>
                <w:rFonts w:eastAsia="宋体"/>
              </w:rPr>
              <w:t>1.000</w:t>
            </w:r>
          </w:p>
        </w:tc>
      </w:tr>
      <w:tr>
        <w:tc>
          <w:tcPr>
            <w:tcW w:type="dxa" w:w="1606"/>
          </w:tcPr>
          <w:p>
            <w:pPr>
              <w:jc w:val="center"/>
            </w:pPr>
            <w:r>
              <w:rPr>
                <w:b w:val="0"/>
                <w:sz w:val="18"/>
                <w:rFonts w:eastAsia="宋体"/>
              </w:rPr>
              <w:t>统计+余弦相似度</w:t>
            </w:r>
          </w:p>
        </w:tc>
        <w:tc>
          <w:tcPr>
            <w:tcW w:type="dxa" w:w="1606"/>
          </w:tcPr>
          <w:p>
            <w:pPr>
              <w:jc w:val="center"/>
            </w:pPr>
            <w:r>
              <w:rPr>
                <w:b w:val="0"/>
                <w:sz w:val="18"/>
                <w:rFonts w:eastAsia="宋体"/>
              </w:rPr>
              <w:t>0.7214</w:t>
            </w:r>
          </w:p>
        </w:tc>
        <w:tc>
          <w:tcPr>
            <w:tcW w:type="dxa" w:w="1606"/>
          </w:tcPr>
          <w:p>
            <w:pPr>
              <w:jc w:val="center"/>
            </w:pPr>
            <w:r>
              <w:rPr>
                <w:b w:val="0"/>
                <w:sz w:val="18"/>
                <w:rFonts w:eastAsia="宋体"/>
              </w:rPr>
              <w:t>26.67%</w:t>
            </w:r>
          </w:p>
        </w:tc>
        <w:tc>
          <w:tcPr>
            <w:tcW w:type="dxa" w:w="1606"/>
          </w:tcPr>
          <w:p>
            <w:pPr>
              <w:jc w:val="center"/>
            </w:pPr>
            <w:r>
              <w:rPr>
                <w:b w:val="0"/>
                <w:sz w:val="18"/>
                <w:rFonts w:eastAsia="宋体"/>
              </w:rPr>
              <w:t>0.6952</w:t>
            </w:r>
          </w:p>
        </w:tc>
        <w:tc>
          <w:tcPr>
            <w:tcW w:type="dxa" w:w="1606"/>
          </w:tcPr>
          <w:p>
            <w:pPr>
              <w:jc w:val="center"/>
            </w:pPr>
            <w:r>
              <w:rPr>
                <w:b w:val="0"/>
                <w:sz w:val="18"/>
                <w:rFonts w:eastAsia="宋体"/>
              </w:rPr>
              <w:t>37.78%</w:t>
            </w:r>
          </w:p>
        </w:tc>
        <w:tc>
          <w:tcPr>
            <w:tcW w:type="dxa" w:w="1606"/>
          </w:tcPr>
          <w:p>
            <w:pPr>
              <w:jc w:val="center"/>
            </w:pPr>
            <w:r>
              <w:rPr>
                <w:b w:val="0"/>
                <w:sz w:val="18"/>
                <w:rFonts w:eastAsia="宋体"/>
              </w:rPr>
              <w:t>0.889</w:t>
            </w:r>
          </w:p>
        </w:tc>
      </w:tr>
      <w:tr>
        <w:tc>
          <w:tcPr>
            <w:tcW w:type="dxa" w:w="1606"/>
          </w:tcPr>
          <w:p>
            <w:pPr>
              <w:jc w:val="center"/>
            </w:pPr>
            <w:r>
              <w:rPr>
                <w:b/>
                <w:sz w:val="18"/>
                <w:rFonts w:eastAsia="宋体"/>
              </w:rPr>
              <w:t>统计+曼哈顿距离</w:t>
            </w:r>
          </w:p>
        </w:tc>
        <w:tc>
          <w:tcPr>
            <w:tcW w:type="dxa" w:w="1606"/>
          </w:tcPr>
          <w:p>
            <w:pPr>
              <w:jc w:val="center"/>
            </w:pPr>
            <w:r>
              <w:rPr>
                <w:b/>
                <w:sz w:val="18"/>
                <w:rFonts w:eastAsia="宋体"/>
              </w:rPr>
              <w:t>0.7458</w:t>
            </w:r>
          </w:p>
        </w:tc>
        <w:tc>
          <w:tcPr>
            <w:tcW w:type="dxa" w:w="1606"/>
          </w:tcPr>
          <w:p>
            <w:pPr>
              <w:jc w:val="center"/>
            </w:pPr>
            <w:r>
              <w:rPr>
                <w:b/>
                <w:sz w:val="18"/>
                <w:rFonts w:eastAsia="宋体"/>
              </w:rPr>
              <w:t>35.56%</w:t>
            </w:r>
          </w:p>
        </w:tc>
        <w:tc>
          <w:tcPr>
            <w:tcW w:type="dxa" w:w="1606"/>
          </w:tcPr>
          <w:p>
            <w:pPr>
              <w:jc w:val="center"/>
            </w:pPr>
            <w:r>
              <w:rPr>
                <w:b/>
                <w:sz w:val="18"/>
                <w:rFonts w:eastAsia="宋体"/>
              </w:rPr>
              <w:t>0.7539</w:t>
            </w:r>
          </w:p>
        </w:tc>
        <w:tc>
          <w:tcPr>
            <w:tcW w:type="dxa" w:w="1606"/>
          </w:tcPr>
          <w:p>
            <w:pPr>
              <w:jc w:val="center"/>
            </w:pPr>
            <w:r>
              <w:rPr>
                <w:b/>
                <w:sz w:val="18"/>
                <w:rFonts w:eastAsia="宋体"/>
              </w:rPr>
              <w:t>37.78%</w:t>
            </w:r>
          </w:p>
        </w:tc>
        <w:tc>
          <w:tcPr>
            <w:tcW w:type="dxa" w:w="1606"/>
          </w:tcPr>
          <w:p>
            <w:pPr>
              <w:jc w:val="center"/>
            </w:pPr>
            <w:r>
              <w:rPr>
                <w:b/>
                <w:sz w:val="18"/>
                <w:rFonts w:eastAsia="宋体"/>
              </w:rPr>
              <w:t>1.111</w:t>
            </w:r>
          </w:p>
        </w:tc>
      </w:tr>
    </w:tbl>
    <w:p>
      <w:pPr>
        <w:pStyle w:val="a6"/>
      </w:pPr>
      <w:r>
        <w:t>注：粗体为最优值。</w:t>
      </w:r>
    </w:p>
    <w:p>
      <w:pPr>
        <w:jc w:val="center"/>
      </w:pPr>
      <w:r>
        <w:drawing>
          <wp:inline xmlns:a="http://schemas.openxmlformats.org/drawingml/2006/main" xmlns:pic="http://schemas.openxmlformats.org/drawingml/2006/picture">
            <wp:extent cx="5220000" cy="2175000"/>
            <wp:docPr id="2" name="Picture 2"/>
            <wp:cNvGraphicFramePr>
              <a:graphicFrameLocks noChangeAspect="1"/>
            </wp:cNvGraphicFramePr>
            <a:graphic>
              <a:graphicData uri="http://schemas.openxmlformats.org/drawingml/2006/picture">
                <pic:pic>
                  <pic:nvPicPr>
                    <pic:cNvPr id="0" name="fig2_methods.png"/>
                    <pic:cNvPicPr/>
                  </pic:nvPicPr>
                  <pic:blipFill>
                    <a:blip r:embed="rId32"/>
                    <a:stretch>
                      <a:fillRect/>
                    </a:stretch>
                  </pic:blipFill>
                  <pic:spPr>
                    <a:xfrm>
                      <a:off x="0" y="0"/>
                      <a:ext cx="5220000" cy="2175000"/>
                    </a:xfrm>
                    <a:prstGeom prst="rect"/>
                  </pic:spPr>
                </pic:pic>
              </a:graphicData>
            </a:graphic>
          </wp:inline>
        </w:drawing>
      </w:r>
    </w:p>
    <w:p>
      <w:pPr>
        <w:pStyle w:val="a6"/>
      </w:pPr>
      <w:r>
        <w:t>图2 各检索方法性能对比</w:t>
      </w:r>
    </w:p>
    <w:p>
      <w:pPr/>
      <w:r>
        <w:t>结果显示：（1）标准化统计描述子明显优于未标准化的原始统计（NDCG@3为0.721对0.539），说明标准化是平衡各维度贡献的必要步骤；（2）三种距离度量中，曼哈顿距离全面最优（NDCG@3为0.746，Recall@3为35.6%），余弦与欧氏接近，表明距离度量与结构描述子之间存在明显的耦合效应，需要通过实验确定；（3）本文采用的、以结构体系分类为训练目标的GNN表征路线在全部指标上最弱（Recall@3仅11.1%），Hybrid融合路线优于GNN但仍低于纯统计描述子，说明在当前任务设置下，该深度图表征未能为细粒度相似性排序带来增益，该现象的原因在第6.4节讨论；（4）Random的NDCG@3达0.621，验证了第4.3节的判断——NDCG分级增益使随机排序也能获得不低的数值，因此相对Random的提升应以Recall与MeanScore衡量：曼哈顿统计路线的Recall@3为Random的2.3倍，MeanScore@3由0.667提升至1.111，即前3个结果的平均参考价值得到实质性提高。</w:t>
      </w:r>
    </w:p>
    <w:p>
      <w:pPr>
        <w:pStyle w:val="2"/>
      </w:pPr>
      <w:r>
        <w:t>5.3结构体系判别特征消融实验</w:t>
      </w:r>
    </w:p>
    <w:p>
      <w:pPr/>
      <w:r>
        <w:t>为回答“描述子的哪些信息层级最具判别力”，本文对描述子进行消融实验。需要明确该实验的口径：消融实验在库内类型检索口径（Top-K类型检索准确率，留一式）下进行，度量的是描述子对结构体系的判别能力，而非专家结构相似性真值下的检索质量；后者由第5.2节的专家基准实验承担。单组实验仅使用某一组特征；累加实验按顺序逐组加入特征；留一组实验从完整描述子中去除某一组。结果见表8与图3。</w:t>
      </w:r>
    </w:p>
    <w:p>
      <w:pPr>
        <w:pStyle w:val="a6"/>
      </w:pPr>
      <w:r>
        <w:t>表8 结构体系判别特征消融实验结果（Top-K准确率/%）</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Borders>
              <w:bottom w:val="single" w:sz="6" w:space="0" w:color="000000"/>
            </w:tcBorders>
          </w:tcPr>
          <w:p>
            <w:pPr>
              <w:jc w:val="center"/>
            </w:pPr>
            <w:r>
              <w:rPr>
                <w:b/>
                <w:sz w:val="18"/>
                <w:rFonts w:eastAsia="宋体"/>
              </w:rPr>
              <w:t>特征组合</w:t>
            </w:r>
          </w:p>
        </w:tc>
        <w:tc>
          <w:tcPr>
            <w:tcW w:type="dxa" w:w="2409"/>
            <w:tcBorders>
              <w:bottom w:val="single" w:sz="6" w:space="0" w:color="000000"/>
            </w:tcBorders>
          </w:tcPr>
          <w:p>
            <w:pPr>
              <w:jc w:val="center"/>
            </w:pPr>
            <w:r>
              <w:rPr>
                <w:b/>
                <w:sz w:val="18"/>
                <w:rFonts w:eastAsia="宋体"/>
              </w:rPr>
              <w:t>Top-1</w:t>
            </w:r>
          </w:p>
        </w:tc>
        <w:tc>
          <w:tcPr>
            <w:tcW w:type="dxa" w:w="2409"/>
            <w:tcBorders>
              <w:bottom w:val="single" w:sz="6" w:space="0" w:color="000000"/>
            </w:tcBorders>
          </w:tcPr>
          <w:p>
            <w:pPr>
              <w:jc w:val="center"/>
            </w:pPr>
            <w:r>
              <w:rPr>
                <w:b/>
                <w:sz w:val="18"/>
                <w:rFonts w:eastAsia="宋体"/>
              </w:rPr>
              <w:t>Top-3</w:t>
            </w:r>
          </w:p>
        </w:tc>
        <w:tc>
          <w:tcPr>
            <w:tcW w:type="dxa" w:w="2409"/>
            <w:tcBorders>
              <w:bottom w:val="single" w:sz="6" w:space="0" w:color="000000"/>
            </w:tcBorders>
          </w:tcPr>
          <w:p>
            <w:pPr>
              <w:jc w:val="center"/>
            </w:pPr>
            <w:r>
              <w:rPr>
                <w:b/>
                <w:sz w:val="18"/>
                <w:rFonts w:eastAsia="宋体"/>
              </w:rPr>
              <w:t>Top-5</w:t>
            </w:r>
          </w:p>
        </w:tc>
      </w:tr>
      <w:tr>
        <w:tc>
          <w:tcPr>
            <w:tcW w:type="dxa" w:w="2409"/>
          </w:tcPr>
          <w:p>
            <w:pPr>
              <w:jc w:val="center"/>
            </w:pPr>
            <w:r>
              <w:rPr>
                <w:b w:val="0"/>
                <w:sz w:val="18"/>
                <w:rFonts w:eastAsia="宋体"/>
              </w:rPr>
              <w:t>单用类型占比</w:t>
            </w:r>
          </w:p>
        </w:tc>
        <w:tc>
          <w:tcPr>
            <w:tcW w:type="dxa" w:w="2409"/>
          </w:tcPr>
          <w:p>
            <w:pPr>
              <w:jc w:val="center"/>
            </w:pPr>
            <w:r>
              <w:rPr>
                <w:b w:val="0"/>
                <w:sz w:val="18"/>
                <w:rFonts w:eastAsia="宋体"/>
              </w:rPr>
              <w:t>86.79</w:t>
            </w:r>
          </w:p>
        </w:tc>
        <w:tc>
          <w:tcPr>
            <w:tcW w:type="dxa" w:w="2409"/>
          </w:tcPr>
          <w:p>
            <w:pPr>
              <w:jc w:val="center"/>
            </w:pPr>
            <w:r>
              <w:rPr>
                <w:b w:val="0"/>
                <w:sz w:val="18"/>
                <w:rFonts w:eastAsia="宋体"/>
              </w:rPr>
              <w:t>93.40</w:t>
            </w:r>
          </w:p>
        </w:tc>
        <w:tc>
          <w:tcPr>
            <w:tcW w:type="dxa" w:w="2409"/>
          </w:tcPr>
          <w:p>
            <w:pPr>
              <w:jc w:val="center"/>
            </w:pPr>
            <w:r>
              <w:rPr>
                <w:b w:val="0"/>
                <w:sz w:val="18"/>
                <w:rFonts w:eastAsia="宋体"/>
              </w:rPr>
              <w:t>96.23</w:t>
            </w:r>
          </w:p>
        </w:tc>
      </w:tr>
      <w:tr>
        <w:tc>
          <w:tcPr>
            <w:tcW w:type="dxa" w:w="2409"/>
          </w:tcPr>
          <w:p>
            <w:pPr>
              <w:jc w:val="center"/>
            </w:pPr>
            <w:r>
              <w:rPr>
                <w:b w:val="0"/>
                <w:sz w:val="18"/>
                <w:rFonts w:eastAsia="宋体"/>
              </w:rPr>
              <w:t>单用面积占比</w:t>
            </w:r>
          </w:p>
        </w:tc>
        <w:tc>
          <w:tcPr>
            <w:tcW w:type="dxa" w:w="2409"/>
          </w:tcPr>
          <w:p>
            <w:pPr>
              <w:jc w:val="center"/>
            </w:pPr>
            <w:r>
              <w:rPr>
                <w:b w:val="0"/>
                <w:sz w:val="18"/>
                <w:rFonts w:eastAsia="宋体"/>
              </w:rPr>
              <w:t>80.19</w:t>
            </w:r>
          </w:p>
        </w:tc>
        <w:tc>
          <w:tcPr>
            <w:tcW w:type="dxa" w:w="2409"/>
          </w:tcPr>
          <w:p>
            <w:pPr>
              <w:jc w:val="center"/>
            </w:pPr>
            <w:r>
              <w:rPr>
                <w:b w:val="0"/>
                <w:sz w:val="18"/>
                <w:rFonts w:eastAsia="宋体"/>
              </w:rPr>
              <w:t>94.34</w:t>
            </w:r>
          </w:p>
        </w:tc>
        <w:tc>
          <w:tcPr>
            <w:tcW w:type="dxa" w:w="2409"/>
          </w:tcPr>
          <w:p>
            <w:pPr>
              <w:jc w:val="center"/>
            </w:pPr>
            <w:r>
              <w:rPr>
                <w:b w:val="0"/>
                <w:sz w:val="18"/>
                <w:rFonts w:eastAsia="宋体"/>
              </w:rPr>
              <w:t>95.28</w:t>
            </w:r>
          </w:p>
        </w:tc>
      </w:tr>
      <w:tr>
        <w:tc>
          <w:tcPr>
            <w:tcW w:type="dxa" w:w="2409"/>
          </w:tcPr>
          <w:p>
            <w:pPr>
              <w:jc w:val="center"/>
            </w:pPr>
            <w:r>
              <w:rPr>
                <w:b w:val="0"/>
                <w:sz w:val="18"/>
                <w:rFonts w:eastAsia="宋体"/>
              </w:rPr>
              <w:t>单用面积分布</w:t>
            </w:r>
          </w:p>
        </w:tc>
        <w:tc>
          <w:tcPr>
            <w:tcW w:type="dxa" w:w="2409"/>
          </w:tcPr>
          <w:p>
            <w:pPr>
              <w:jc w:val="center"/>
            </w:pPr>
            <w:r>
              <w:rPr>
                <w:b w:val="0"/>
                <w:sz w:val="18"/>
                <w:rFonts w:eastAsia="宋体"/>
              </w:rPr>
              <w:t>58.49</w:t>
            </w:r>
          </w:p>
        </w:tc>
        <w:tc>
          <w:tcPr>
            <w:tcW w:type="dxa" w:w="2409"/>
          </w:tcPr>
          <w:p>
            <w:pPr>
              <w:jc w:val="center"/>
            </w:pPr>
            <w:r>
              <w:rPr>
                <w:b w:val="0"/>
                <w:sz w:val="18"/>
                <w:rFonts w:eastAsia="宋体"/>
              </w:rPr>
              <w:t>88.68</w:t>
            </w:r>
          </w:p>
        </w:tc>
        <w:tc>
          <w:tcPr>
            <w:tcW w:type="dxa" w:w="2409"/>
          </w:tcPr>
          <w:p>
            <w:pPr>
              <w:jc w:val="center"/>
            </w:pPr>
            <w:r>
              <w:rPr>
                <w:b w:val="0"/>
                <w:sz w:val="18"/>
                <w:rFonts w:eastAsia="宋体"/>
              </w:rPr>
              <w:t>94.34</w:t>
            </w:r>
          </w:p>
        </w:tc>
      </w:tr>
      <w:tr>
        <w:tc>
          <w:tcPr>
            <w:tcW w:type="dxa" w:w="2409"/>
          </w:tcPr>
          <w:p>
            <w:pPr>
              <w:jc w:val="center"/>
            </w:pPr>
            <w:r>
              <w:rPr>
                <w:b w:val="0"/>
                <w:sz w:val="18"/>
                <w:rFonts w:eastAsia="宋体"/>
              </w:rPr>
              <w:t>单用空间统计</w:t>
            </w:r>
          </w:p>
        </w:tc>
        <w:tc>
          <w:tcPr>
            <w:tcW w:type="dxa" w:w="2409"/>
          </w:tcPr>
          <w:p>
            <w:pPr>
              <w:jc w:val="center"/>
            </w:pPr>
            <w:r>
              <w:rPr>
                <w:b w:val="0"/>
                <w:sz w:val="18"/>
                <w:rFonts w:eastAsia="宋体"/>
              </w:rPr>
              <w:t>37.74</w:t>
            </w:r>
          </w:p>
        </w:tc>
        <w:tc>
          <w:tcPr>
            <w:tcW w:type="dxa" w:w="2409"/>
          </w:tcPr>
          <w:p>
            <w:pPr>
              <w:jc w:val="center"/>
            </w:pPr>
            <w:r>
              <w:rPr>
                <w:b w:val="0"/>
                <w:sz w:val="18"/>
                <w:rFonts w:eastAsia="宋体"/>
              </w:rPr>
              <w:t>71.70</w:t>
            </w:r>
          </w:p>
        </w:tc>
        <w:tc>
          <w:tcPr>
            <w:tcW w:type="dxa" w:w="2409"/>
          </w:tcPr>
          <w:p>
            <w:pPr>
              <w:jc w:val="center"/>
            </w:pPr>
            <w:r>
              <w:rPr>
                <w:b w:val="0"/>
                <w:sz w:val="18"/>
                <w:rFonts w:eastAsia="宋体"/>
              </w:rPr>
              <w:t>84.91</w:t>
            </w:r>
          </w:p>
        </w:tc>
      </w:tr>
      <w:tr>
        <w:tc>
          <w:tcPr>
            <w:tcW w:type="dxa" w:w="2409"/>
          </w:tcPr>
          <w:p>
            <w:pPr>
              <w:jc w:val="center"/>
            </w:pPr>
            <w:r>
              <w:rPr>
                <w:b w:val="0"/>
                <w:sz w:val="18"/>
                <w:rFonts w:eastAsia="宋体"/>
              </w:rPr>
              <w:t>类型占比</w:t>
            </w:r>
          </w:p>
        </w:tc>
        <w:tc>
          <w:tcPr>
            <w:tcW w:type="dxa" w:w="2409"/>
          </w:tcPr>
          <w:p>
            <w:pPr>
              <w:jc w:val="center"/>
            </w:pPr>
            <w:r>
              <w:rPr>
                <w:b w:val="0"/>
                <w:sz w:val="18"/>
                <w:rFonts w:eastAsia="宋体"/>
              </w:rPr>
              <w:t>86.79</w:t>
            </w:r>
          </w:p>
        </w:tc>
        <w:tc>
          <w:tcPr>
            <w:tcW w:type="dxa" w:w="2409"/>
          </w:tcPr>
          <w:p>
            <w:pPr>
              <w:jc w:val="center"/>
            </w:pPr>
            <w:r>
              <w:rPr>
                <w:b w:val="0"/>
                <w:sz w:val="18"/>
                <w:rFonts w:eastAsia="宋体"/>
              </w:rPr>
              <w:t>93.40</w:t>
            </w:r>
          </w:p>
        </w:tc>
        <w:tc>
          <w:tcPr>
            <w:tcW w:type="dxa" w:w="2409"/>
          </w:tcPr>
          <w:p>
            <w:pPr>
              <w:jc w:val="center"/>
            </w:pPr>
            <w:r>
              <w:rPr>
                <w:b w:val="0"/>
                <w:sz w:val="18"/>
                <w:rFonts w:eastAsia="宋体"/>
              </w:rPr>
              <w:t>96.23</w:t>
            </w:r>
          </w:p>
        </w:tc>
      </w:tr>
      <w:tr>
        <w:tc>
          <w:tcPr>
            <w:tcW w:type="dxa" w:w="2409"/>
          </w:tcPr>
          <w:p>
            <w:pPr>
              <w:jc w:val="center"/>
            </w:pPr>
            <w:r>
              <w:rPr>
                <w:b w:val="0"/>
                <w:sz w:val="18"/>
                <w:rFonts w:eastAsia="宋体"/>
              </w:rPr>
              <w:t>类型占比+面积占比</w:t>
            </w:r>
          </w:p>
        </w:tc>
        <w:tc>
          <w:tcPr>
            <w:tcW w:type="dxa" w:w="2409"/>
          </w:tcPr>
          <w:p>
            <w:pPr>
              <w:jc w:val="center"/>
            </w:pPr>
            <w:r>
              <w:rPr>
                <w:b w:val="0"/>
                <w:sz w:val="18"/>
                <w:rFonts w:eastAsia="宋体"/>
              </w:rPr>
              <w:t>88.68</w:t>
            </w:r>
          </w:p>
        </w:tc>
        <w:tc>
          <w:tcPr>
            <w:tcW w:type="dxa" w:w="2409"/>
          </w:tcPr>
          <w:p>
            <w:pPr>
              <w:jc w:val="center"/>
            </w:pPr>
            <w:r>
              <w:rPr>
                <w:b w:val="0"/>
                <w:sz w:val="18"/>
                <w:rFonts w:eastAsia="宋体"/>
              </w:rPr>
              <w:t>96.23</w:t>
            </w:r>
          </w:p>
        </w:tc>
        <w:tc>
          <w:tcPr>
            <w:tcW w:type="dxa" w:w="2409"/>
          </w:tcPr>
          <w:p>
            <w:pPr>
              <w:jc w:val="center"/>
            </w:pPr>
            <w:r>
              <w:rPr>
                <w:b w:val="0"/>
                <w:sz w:val="18"/>
                <w:rFonts w:eastAsia="宋体"/>
              </w:rPr>
              <w:t>96.23</w:t>
            </w:r>
          </w:p>
        </w:tc>
      </w:tr>
      <w:tr>
        <w:tc>
          <w:tcPr>
            <w:tcW w:type="dxa" w:w="2409"/>
          </w:tcPr>
          <w:p>
            <w:pPr>
              <w:jc w:val="center"/>
            </w:pPr>
            <w:r>
              <w:rPr>
                <w:b w:val="0"/>
                <w:sz w:val="18"/>
                <w:rFonts w:eastAsia="宋体"/>
              </w:rPr>
              <w:t>类型占比+面积占比+面积分布</w:t>
            </w:r>
          </w:p>
        </w:tc>
        <w:tc>
          <w:tcPr>
            <w:tcW w:type="dxa" w:w="2409"/>
          </w:tcPr>
          <w:p>
            <w:pPr>
              <w:jc w:val="center"/>
            </w:pPr>
            <w:r>
              <w:rPr>
                <w:b w:val="0"/>
                <w:sz w:val="18"/>
                <w:rFonts w:eastAsia="宋体"/>
              </w:rPr>
              <w:t>87.74</w:t>
            </w:r>
          </w:p>
        </w:tc>
        <w:tc>
          <w:tcPr>
            <w:tcW w:type="dxa" w:w="2409"/>
          </w:tcPr>
          <w:p>
            <w:pPr>
              <w:jc w:val="center"/>
            </w:pPr>
            <w:r>
              <w:rPr>
                <w:b w:val="0"/>
                <w:sz w:val="18"/>
                <w:rFonts w:eastAsia="宋体"/>
              </w:rPr>
              <w:t>97.17</w:t>
            </w:r>
          </w:p>
        </w:tc>
        <w:tc>
          <w:tcPr>
            <w:tcW w:type="dxa" w:w="2409"/>
          </w:tcPr>
          <w:p>
            <w:pPr>
              <w:jc w:val="center"/>
            </w:pPr>
            <w:r>
              <w:rPr>
                <w:b w:val="0"/>
                <w:sz w:val="18"/>
                <w:rFonts w:eastAsia="宋体"/>
              </w:rPr>
              <w:t>98.11</w:t>
            </w:r>
          </w:p>
        </w:tc>
      </w:tr>
      <w:tr>
        <w:tc>
          <w:tcPr>
            <w:tcW w:type="dxa" w:w="2409"/>
          </w:tcPr>
          <w:p>
            <w:pPr>
              <w:jc w:val="center"/>
            </w:pPr>
            <w:r>
              <w:rPr>
                <w:b w:val="0"/>
                <w:sz w:val="18"/>
                <w:rFonts w:eastAsia="宋体"/>
              </w:rPr>
              <w:t>完整描述子</w:t>
            </w:r>
          </w:p>
        </w:tc>
        <w:tc>
          <w:tcPr>
            <w:tcW w:type="dxa" w:w="2409"/>
          </w:tcPr>
          <w:p>
            <w:pPr>
              <w:jc w:val="center"/>
            </w:pPr>
            <w:r>
              <w:rPr>
                <w:b w:val="0"/>
                <w:sz w:val="18"/>
                <w:rFonts w:eastAsia="宋体"/>
              </w:rPr>
              <w:t>87.74</w:t>
            </w:r>
          </w:p>
        </w:tc>
        <w:tc>
          <w:tcPr>
            <w:tcW w:type="dxa" w:w="2409"/>
          </w:tcPr>
          <w:p>
            <w:pPr>
              <w:jc w:val="center"/>
            </w:pPr>
            <w:r>
              <w:rPr>
                <w:b w:val="0"/>
                <w:sz w:val="18"/>
                <w:rFonts w:eastAsia="宋体"/>
              </w:rPr>
              <w:t>94.34</w:t>
            </w:r>
          </w:p>
        </w:tc>
        <w:tc>
          <w:tcPr>
            <w:tcW w:type="dxa" w:w="2409"/>
          </w:tcPr>
          <w:p>
            <w:pPr>
              <w:jc w:val="center"/>
            </w:pPr>
            <w:r>
              <w:rPr>
                <w:b w:val="0"/>
                <w:sz w:val="18"/>
                <w:rFonts w:eastAsia="宋体"/>
              </w:rPr>
              <w:t>98.11</w:t>
            </w:r>
          </w:p>
        </w:tc>
      </w:tr>
      <w:tr>
        <w:tc>
          <w:tcPr>
            <w:tcW w:type="dxa" w:w="2409"/>
          </w:tcPr>
          <w:p>
            <w:pPr>
              <w:jc w:val="center"/>
            </w:pPr>
            <w:r>
              <w:rPr>
                <w:b w:val="0"/>
                <w:sz w:val="18"/>
                <w:rFonts w:eastAsia="宋体"/>
              </w:rPr>
              <w:t>完整−类型占比</w:t>
            </w:r>
          </w:p>
        </w:tc>
        <w:tc>
          <w:tcPr>
            <w:tcW w:type="dxa" w:w="2409"/>
          </w:tcPr>
          <w:p>
            <w:pPr>
              <w:jc w:val="center"/>
            </w:pPr>
            <w:r>
              <w:rPr>
                <w:b w:val="0"/>
                <w:sz w:val="18"/>
                <w:rFonts w:eastAsia="宋体"/>
              </w:rPr>
              <w:t>84.91</w:t>
            </w:r>
          </w:p>
        </w:tc>
        <w:tc>
          <w:tcPr>
            <w:tcW w:type="dxa" w:w="2409"/>
          </w:tcPr>
          <w:p>
            <w:pPr>
              <w:jc w:val="center"/>
            </w:pPr>
            <w:r>
              <w:rPr>
                <w:b w:val="0"/>
                <w:sz w:val="18"/>
                <w:rFonts w:eastAsia="宋体"/>
              </w:rPr>
              <w:t>94.34</w:t>
            </w:r>
          </w:p>
        </w:tc>
        <w:tc>
          <w:tcPr>
            <w:tcW w:type="dxa" w:w="2409"/>
          </w:tcPr>
          <w:p>
            <w:pPr>
              <w:jc w:val="center"/>
            </w:pPr>
            <w:r>
              <w:rPr>
                <w:b w:val="0"/>
                <w:sz w:val="18"/>
                <w:rFonts w:eastAsia="宋体"/>
              </w:rPr>
              <w:t>96.23</w:t>
            </w:r>
          </w:p>
        </w:tc>
      </w:tr>
      <w:tr>
        <w:tc>
          <w:tcPr>
            <w:tcW w:type="dxa" w:w="2409"/>
          </w:tcPr>
          <w:p>
            <w:pPr>
              <w:jc w:val="center"/>
            </w:pPr>
            <w:r>
              <w:rPr>
                <w:b w:val="0"/>
                <w:sz w:val="18"/>
                <w:rFonts w:eastAsia="宋体"/>
              </w:rPr>
              <w:t>完整−面积占比</w:t>
            </w:r>
          </w:p>
        </w:tc>
        <w:tc>
          <w:tcPr>
            <w:tcW w:type="dxa" w:w="2409"/>
          </w:tcPr>
          <w:p>
            <w:pPr>
              <w:jc w:val="center"/>
            </w:pPr>
            <w:r>
              <w:rPr>
                <w:b w:val="0"/>
                <w:sz w:val="18"/>
                <w:rFonts w:eastAsia="宋体"/>
              </w:rPr>
              <w:t>87.74</w:t>
            </w:r>
          </w:p>
        </w:tc>
        <w:tc>
          <w:tcPr>
            <w:tcW w:type="dxa" w:w="2409"/>
          </w:tcPr>
          <w:p>
            <w:pPr>
              <w:jc w:val="center"/>
            </w:pPr>
            <w:r>
              <w:rPr>
                <w:b w:val="0"/>
                <w:sz w:val="18"/>
                <w:rFonts w:eastAsia="宋体"/>
              </w:rPr>
              <w:t>95.28</w:t>
            </w:r>
          </w:p>
        </w:tc>
        <w:tc>
          <w:tcPr>
            <w:tcW w:type="dxa" w:w="2409"/>
          </w:tcPr>
          <w:p>
            <w:pPr>
              <w:jc w:val="center"/>
            </w:pPr>
            <w:r>
              <w:rPr>
                <w:b w:val="0"/>
                <w:sz w:val="18"/>
                <w:rFonts w:eastAsia="宋体"/>
              </w:rPr>
              <w:t>97.17</w:t>
            </w:r>
          </w:p>
        </w:tc>
      </w:tr>
      <w:tr>
        <w:tc>
          <w:tcPr>
            <w:tcW w:type="dxa" w:w="2409"/>
          </w:tcPr>
          <w:p>
            <w:pPr>
              <w:jc w:val="center"/>
            </w:pPr>
            <w:r>
              <w:rPr>
                <w:b w:val="0"/>
                <w:sz w:val="18"/>
                <w:rFonts w:eastAsia="宋体"/>
              </w:rPr>
              <w:t>完整−面积分布</w:t>
            </w:r>
          </w:p>
        </w:tc>
        <w:tc>
          <w:tcPr>
            <w:tcW w:type="dxa" w:w="2409"/>
          </w:tcPr>
          <w:p>
            <w:pPr>
              <w:jc w:val="center"/>
            </w:pPr>
            <w:r>
              <w:rPr>
                <w:b w:val="0"/>
                <w:sz w:val="18"/>
                <w:rFonts w:eastAsia="宋体"/>
              </w:rPr>
              <w:t>85.85</w:t>
            </w:r>
          </w:p>
        </w:tc>
        <w:tc>
          <w:tcPr>
            <w:tcW w:type="dxa" w:w="2409"/>
          </w:tcPr>
          <w:p>
            <w:pPr>
              <w:jc w:val="center"/>
            </w:pPr>
            <w:r>
              <w:rPr>
                <w:b w:val="0"/>
                <w:sz w:val="18"/>
                <w:rFonts w:eastAsia="宋体"/>
              </w:rPr>
              <w:t>97.17</w:t>
            </w:r>
          </w:p>
        </w:tc>
        <w:tc>
          <w:tcPr>
            <w:tcW w:type="dxa" w:w="2409"/>
          </w:tcPr>
          <w:p>
            <w:pPr>
              <w:jc w:val="center"/>
            </w:pPr>
            <w:r>
              <w:rPr>
                <w:b w:val="0"/>
                <w:sz w:val="18"/>
                <w:rFonts w:eastAsia="宋体"/>
              </w:rPr>
              <w:t>98.11</w:t>
            </w:r>
          </w:p>
        </w:tc>
      </w:tr>
      <w:tr>
        <w:tc>
          <w:tcPr>
            <w:tcW w:type="dxa" w:w="2409"/>
          </w:tcPr>
          <w:p>
            <w:pPr>
              <w:jc w:val="center"/>
            </w:pPr>
            <w:r>
              <w:rPr>
                <w:b w:val="0"/>
                <w:sz w:val="18"/>
                <w:rFonts w:eastAsia="宋体"/>
              </w:rPr>
              <w:t>完整−空间统计</w:t>
            </w:r>
          </w:p>
        </w:tc>
        <w:tc>
          <w:tcPr>
            <w:tcW w:type="dxa" w:w="2409"/>
          </w:tcPr>
          <w:p>
            <w:pPr>
              <w:jc w:val="center"/>
            </w:pPr>
            <w:r>
              <w:rPr>
                <w:b w:val="0"/>
                <w:sz w:val="18"/>
                <w:rFonts w:eastAsia="宋体"/>
              </w:rPr>
              <w:t>87.74</w:t>
            </w:r>
          </w:p>
        </w:tc>
        <w:tc>
          <w:tcPr>
            <w:tcW w:type="dxa" w:w="2409"/>
          </w:tcPr>
          <w:p>
            <w:pPr>
              <w:jc w:val="center"/>
            </w:pPr>
            <w:r>
              <w:rPr>
                <w:b w:val="0"/>
                <w:sz w:val="18"/>
                <w:rFonts w:eastAsia="宋体"/>
              </w:rPr>
              <w:t>97.17</w:t>
            </w:r>
          </w:p>
        </w:tc>
        <w:tc>
          <w:tcPr>
            <w:tcW w:type="dxa" w:w="2409"/>
          </w:tcPr>
          <w:p>
            <w:pPr>
              <w:jc w:val="center"/>
            </w:pPr>
            <w:r>
              <w:rPr>
                <w:b w:val="0"/>
                <w:sz w:val="18"/>
                <w:rFonts w:eastAsia="宋体"/>
              </w:rPr>
              <w:t>98.11</w:t>
            </w:r>
          </w:p>
        </w:tc>
      </w:tr>
    </w:tbl>
    <w:p>
      <w:pPr>
        <w:jc w:val="center"/>
      </w:pPr>
      <w:r>
        <w:drawing>
          <wp:inline xmlns:a="http://schemas.openxmlformats.org/drawingml/2006/main" xmlns:pic="http://schemas.openxmlformats.org/drawingml/2006/picture">
            <wp:extent cx="5040000" cy="2310000"/>
            <wp:docPr id="3" name="Picture 3"/>
            <wp:cNvGraphicFramePr>
              <a:graphicFrameLocks noChangeAspect="1"/>
            </wp:cNvGraphicFramePr>
            <a:graphic>
              <a:graphicData uri="http://schemas.openxmlformats.org/drawingml/2006/picture">
                <pic:pic>
                  <pic:nvPicPr>
                    <pic:cNvPr id="0" name="fig3_ablation.png"/>
                    <pic:cNvPicPr/>
                  </pic:nvPicPr>
                  <pic:blipFill>
                    <a:blip r:embed="rId33"/>
                    <a:stretch>
                      <a:fillRect/>
                    </a:stretch>
                  </pic:blipFill>
                  <pic:spPr>
                    <a:xfrm>
                      <a:off x="0" y="0"/>
                      <a:ext cx="5040000" cy="2310000"/>
                    </a:xfrm>
                    <a:prstGeom prst="rect"/>
                  </pic:spPr>
                </pic:pic>
              </a:graphicData>
            </a:graphic>
          </wp:inline>
        </w:drawing>
      </w:r>
    </w:p>
    <w:p>
      <w:pPr>
        <w:pStyle w:val="a6"/>
      </w:pPr>
      <w:r>
        <w:t>图3 结构体系判别特征消融实验结果</w:t>
      </w:r>
    </w:p>
    <w:p>
      <w:pPr/>
      <w:r>
        <w:t>消融结果表明：（1）在当前案例库与评价设置下，构件类型占比是最具判别力的特征组，单组Top-1即达86.8%，且去除该组时性能降幅最大（87.7%降至84.9%）；这与结构设计中“先看体系、再看细部”的工程认知一致，也与标准约束下同体系案例构件构成趋同的特点相符[4-5]；（2）面积信息（面积占比与面积分布）具有一定的增量贡献，与类型占比形成互补；（3）当前的空间统计量（最近邻距离均值与标准差）未表现出明显的独立增益，应当强调，这只能说明这两个统计量的表达粒度不足以有效区分同体系内的布置差异，并不能说明空间布置对结构相似性不重要，更精细的空间描述是后续改进方向。</w:t>
      </w:r>
    </w:p>
    <w:p>
      <w:pPr>
        <w:pStyle w:val="2"/>
      </w:pPr>
      <w:r>
        <w:t>5.4按结构类型的专家检索性能与GNN增量价值</w:t>
      </w:r>
    </w:p>
    <w:p>
      <w:pPr/>
      <w:r>
        <w:t>表9给出两条主要路线按结构类型拆分的专家检索性能。</w:t>
      </w:r>
    </w:p>
    <w:p>
      <w:pPr>
        <w:pStyle w:val="a6"/>
      </w:pPr>
      <w:r>
        <w:t>表9 按结构类型的专家检索性能（NDCG@3）</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213"/>
        <w:gridCol w:w="3213"/>
        <w:gridCol w:w="3213"/>
      </w:tblGrid>
      <w:tr>
        <w:tc>
          <w:tcPr>
            <w:tcW w:type="dxa" w:w="3213"/>
            <w:tcBorders>
              <w:bottom w:val="single" w:sz="6" w:space="0" w:color="000000"/>
            </w:tcBorders>
          </w:tcPr>
          <w:p>
            <w:pPr>
              <w:jc w:val="center"/>
            </w:pPr>
            <w:r>
              <w:rPr>
                <w:b/>
                <w:sz w:val="18"/>
                <w:rFonts w:eastAsia="宋体"/>
              </w:rPr>
              <w:t>类型</w:t>
            </w:r>
          </w:p>
        </w:tc>
        <w:tc>
          <w:tcPr>
            <w:tcW w:type="dxa" w:w="3213"/>
            <w:tcBorders>
              <w:bottom w:val="single" w:sz="6" w:space="0" w:color="000000"/>
            </w:tcBorders>
          </w:tcPr>
          <w:p>
            <w:pPr>
              <w:jc w:val="center"/>
            </w:pPr>
            <w:r>
              <w:rPr>
                <w:b/>
                <w:sz w:val="18"/>
                <w:rFonts w:eastAsia="宋体"/>
              </w:rPr>
              <w:t>统计描述子</w:t>
            </w:r>
          </w:p>
        </w:tc>
        <w:tc>
          <w:tcPr>
            <w:tcW w:type="dxa" w:w="3213"/>
            <w:tcBorders>
              <w:bottom w:val="single" w:sz="6" w:space="0" w:color="000000"/>
            </w:tcBorders>
          </w:tcPr>
          <w:p>
            <w:pPr>
              <w:jc w:val="center"/>
            </w:pPr>
            <w:r>
              <w:rPr>
                <w:b/>
                <w:sz w:val="18"/>
                <w:rFonts w:eastAsia="宋体"/>
              </w:rPr>
              <w:t>GNN</w:t>
            </w:r>
          </w:p>
        </w:tc>
      </w:tr>
      <w:tr>
        <w:tc>
          <w:tcPr>
            <w:tcW w:type="dxa" w:w="3213"/>
          </w:tcPr>
          <w:p>
            <w:pPr>
              <w:jc w:val="center"/>
            </w:pPr>
            <w:r>
              <w:rPr>
                <w:b w:val="0"/>
                <w:sz w:val="18"/>
                <w:rFonts w:eastAsia="宋体"/>
              </w:rPr>
              <w:t>剪力墙</w:t>
            </w:r>
          </w:p>
        </w:tc>
        <w:tc>
          <w:tcPr>
            <w:tcW w:type="dxa" w:w="3213"/>
          </w:tcPr>
          <w:p>
            <w:pPr>
              <w:jc w:val="center"/>
            </w:pPr>
            <w:r>
              <w:rPr>
                <w:b w:val="0"/>
                <w:sz w:val="18"/>
                <w:rFonts w:eastAsia="宋体"/>
              </w:rPr>
              <w:t>0.861</w:t>
            </w:r>
          </w:p>
        </w:tc>
        <w:tc>
          <w:tcPr>
            <w:tcW w:type="dxa" w:w="3213"/>
          </w:tcPr>
          <w:p>
            <w:pPr>
              <w:jc w:val="center"/>
            </w:pPr>
            <w:r>
              <w:rPr>
                <w:b w:val="0"/>
                <w:sz w:val="18"/>
                <w:rFonts w:eastAsia="宋体"/>
              </w:rPr>
              <w:t>0.658</w:t>
            </w:r>
          </w:p>
        </w:tc>
      </w:tr>
      <w:tr>
        <w:tc>
          <w:tcPr>
            <w:tcW w:type="dxa" w:w="3213"/>
          </w:tcPr>
          <w:p>
            <w:pPr>
              <w:jc w:val="center"/>
            </w:pPr>
            <w:r>
              <w:rPr>
                <w:b w:val="0"/>
                <w:sz w:val="18"/>
                <w:rFonts w:eastAsia="宋体"/>
              </w:rPr>
              <w:t>框剪</w:t>
            </w:r>
          </w:p>
        </w:tc>
        <w:tc>
          <w:tcPr>
            <w:tcW w:type="dxa" w:w="3213"/>
          </w:tcPr>
          <w:p>
            <w:pPr>
              <w:jc w:val="center"/>
            </w:pPr>
            <w:r>
              <w:rPr>
                <w:b w:val="0"/>
                <w:sz w:val="18"/>
                <w:rFonts w:eastAsia="宋体"/>
              </w:rPr>
              <w:t>0.677</w:t>
            </w:r>
          </w:p>
        </w:tc>
        <w:tc>
          <w:tcPr>
            <w:tcW w:type="dxa" w:w="3213"/>
          </w:tcPr>
          <w:p>
            <w:pPr>
              <w:jc w:val="center"/>
            </w:pPr>
            <w:r>
              <w:rPr>
                <w:b w:val="0"/>
                <w:sz w:val="18"/>
                <w:rFonts w:eastAsia="宋体"/>
              </w:rPr>
              <w:t>0.426</w:t>
            </w:r>
          </w:p>
        </w:tc>
      </w:tr>
      <w:tr>
        <w:tc>
          <w:tcPr>
            <w:tcW w:type="dxa" w:w="3213"/>
          </w:tcPr>
          <w:p>
            <w:pPr>
              <w:jc w:val="center"/>
            </w:pPr>
            <w:r>
              <w:rPr>
                <w:b w:val="0"/>
                <w:sz w:val="18"/>
                <w:rFonts w:eastAsia="宋体"/>
              </w:rPr>
              <w:t>框架</w:t>
            </w:r>
          </w:p>
        </w:tc>
        <w:tc>
          <w:tcPr>
            <w:tcW w:type="dxa" w:w="3213"/>
          </w:tcPr>
          <w:p>
            <w:pPr>
              <w:jc w:val="center"/>
            </w:pPr>
            <w:r>
              <w:rPr>
                <w:b w:val="0"/>
                <w:sz w:val="18"/>
                <w:rFonts w:eastAsia="宋体"/>
              </w:rPr>
              <w:t>0.626</w:t>
            </w:r>
          </w:p>
        </w:tc>
        <w:tc>
          <w:tcPr>
            <w:tcW w:type="dxa" w:w="3213"/>
          </w:tcPr>
          <w:p>
            <w:pPr>
              <w:jc w:val="center"/>
            </w:pPr>
            <w:r>
              <w:rPr>
                <w:b w:val="0"/>
                <w:sz w:val="18"/>
                <w:rFonts w:eastAsia="宋体"/>
              </w:rPr>
              <w:t>0.700</w:t>
            </w:r>
          </w:p>
        </w:tc>
      </w:tr>
    </w:tbl>
    <w:p>
      <w:pPr>
        <w:jc w:val="center"/>
      </w:pPr>
      <w:r>
        <w:drawing>
          <wp:inline xmlns:a="http://schemas.openxmlformats.org/drawingml/2006/main" xmlns:pic="http://schemas.openxmlformats.org/drawingml/2006/picture">
            <wp:extent cx="3780000" cy="2835000"/>
            <wp:docPr id="4" name="Picture 4"/>
            <wp:cNvGraphicFramePr>
              <a:graphicFrameLocks noChangeAspect="1"/>
            </wp:cNvGraphicFramePr>
            <a:graphic>
              <a:graphicData uri="http://schemas.openxmlformats.org/drawingml/2006/picture">
                <pic:pic>
                  <pic:nvPicPr>
                    <pic:cNvPr id="0" name="fig5_tsne.png"/>
                    <pic:cNvPicPr/>
                  </pic:nvPicPr>
                  <pic:blipFill>
                    <a:blip r:embed="rId34"/>
                    <a:stretch>
                      <a:fillRect/>
                    </a:stretch>
                  </pic:blipFill>
                  <pic:spPr>
                    <a:xfrm>
                      <a:off x="0" y="0"/>
                      <a:ext cx="3780000" cy="2835000"/>
                    </a:xfrm>
                    <a:prstGeom prst="rect"/>
                  </pic:spPr>
                </pic:pic>
              </a:graphicData>
            </a:graphic>
          </wp:inline>
        </w:drawing>
      </w:r>
    </w:p>
    <w:p>
      <w:pPr>
        <w:pStyle w:val="a6"/>
      </w:pPr>
      <w:r>
        <w:t>图4 GNN嵌入的t-SNE分布（仅用于可视化）</w:t>
      </w:r>
    </w:p>
    <w:p>
      <w:pPr/>
      <w:r>
        <w:t>统计描述子在剪力墙与框剪两类上均领先，而GNN在框架类反超。进一步分析候选覆盖发现：相比统计路线，GNN的Top-3新增35个候选，其中3个被专家评为≥3分、1个被评为4分，且这些高分增量候选全部出现在框架类查询。其原因在于：框架类图纸高度同质，GNN嵌入的类内两两余弦相似度几乎完全一致（均值0.999、标准差0.0013），表征已陷入类内坍缩，其排序接近同质样本间的任意扰动，仅在个别案例上恰好与专家偏好吻合；而统计描述子的类内相似度标准差保持在0.20～0.43，仍具有可区分度。这一观察说明，GNN可作为同质类型的候选补充，但不能作为主要排序依据；将两条路线的结果简单并集重排也未超过纯统计路线，表明融合的关键在于重排策略而非候选合并。图4的t-SNE可视化[19]直观显示了三类结构在GNN嵌入空间中的分离情况，仅作为辅助观察，不作为评价指标。</w:t>
      </w:r>
    </w:p>
    <w:p>
      <w:pPr>
        <w:pStyle w:val="2"/>
      </w:pPr>
      <w:r>
        <w:t>5.5同项目与跨项目检索</w:t>
      </w:r>
    </w:p>
    <w:p>
      <w:pPr/>
      <w:r>
        <w:t>案例检索的真实价值在于从当前工程之外的历史项目中找到可参考案例。本文将每个查询的候选按项目归属拆分为同项目与跨项目子集分别评价（同项目子集仅包含存在同项目正样本的6个查询，跨项目子集包含8个查询），结果见表10与图5。</w:t>
      </w:r>
    </w:p>
    <w:p>
      <w:pPr>
        <w:pStyle w:val="a6"/>
      </w:pPr>
      <w:r>
        <w:t>表10 同项目与跨项目检索性能对比</w:t>
      </w:r>
    </w:p>
    <w:tbl>
      <w:tblPr>
        <w:tblW w:type="auto" w:w="0"/>
        <w:jc w:val="center"/>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928"/>
        <w:gridCol w:w="1928"/>
        <w:gridCol w:w="1928"/>
        <w:gridCol w:w="1928"/>
        <w:gridCol w:w="1928"/>
      </w:tblGrid>
      <w:tr>
        <w:tc>
          <w:tcPr>
            <w:tcW w:type="dxa" w:w="1928"/>
            <w:tcBorders>
              <w:bottom w:val="single" w:sz="6" w:space="0" w:color="000000"/>
            </w:tcBorders>
          </w:tcPr>
          <w:p>
            <w:pPr>
              <w:jc w:val="center"/>
            </w:pPr>
            <w:r>
              <w:rPr>
                <w:b/>
                <w:sz w:val="18"/>
                <w:rFonts w:eastAsia="宋体"/>
              </w:rPr>
              <w:t>子集</w:t>
            </w:r>
          </w:p>
        </w:tc>
        <w:tc>
          <w:tcPr>
            <w:tcW w:type="dxa" w:w="1928"/>
            <w:tcBorders>
              <w:bottom w:val="single" w:sz="6" w:space="0" w:color="000000"/>
            </w:tcBorders>
          </w:tcPr>
          <w:p>
            <w:pPr>
              <w:jc w:val="center"/>
            </w:pPr>
            <w:r>
              <w:rPr>
                <w:b/>
                <w:sz w:val="18"/>
                <w:rFonts w:eastAsia="宋体"/>
              </w:rPr>
              <w:t>方法</w:t>
            </w:r>
          </w:p>
        </w:tc>
        <w:tc>
          <w:tcPr>
            <w:tcW w:type="dxa" w:w="1928"/>
            <w:tcBorders>
              <w:bottom w:val="single" w:sz="6" w:space="0" w:color="000000"/>
            </w:tcBorders>
          </w:tcPr>
          <w:p>
            <w:pPr>
              <w:jc w:val="center"/>
            </w:pPr>
            <w:r>
              <w:rPr>
                <w:b/>
                <w:sz w:val="18"/>
                <w:rFonts w:eastAsia="宋体"/>
              </w:rPr>
              <w:t>NDCG@3</w:t>
            </w:r>
          </w:p>
        </w:tc>
        <w:tc>
          <w:tcPr>
            <w:tcW w:type="dxa" w:w="1928"/>
            <w:tcBorders>
              <w:bottom w:val="single" w:sz="6" w:space="0" w:color="000000"/>
            </w:tcBorders>
          </w:tcPr>
          <w:p>
            <w:pPr>
              <w:jc w:val="center"/>
            </w:pPr>
            <w:r>
              <w:rPr>
                <w:b/>
                <w:sz w:val="18"/>
                <w:rFonts w:eastAsia="宋体"/>
              </w:rPr>
              <w:t>NDCG@5</w:t>
            </w:r>
          </w:p>
        </w:tc>
        <w:tc>
          <w:tcPr>
            <w:tcW w:type="dxa" w:w="1928"/>
            <w:tcBorders>
              <w:bottom w:val="single" w:sz="6" w:space="0" w:color="000000"/>
            </w:tcBorders>
          </w:tcPr>
          <w:p>
            <w:pPr>
              <w:jc w:val="center"/>
            </w:pPr>
            <w:r>
              <w:rPr>
                <w:b/>
                <w:sz w:val="18"/>
                <w:rFonts w:eastAsia="宋体"/>
              </w:rPr>
              <w:t>Recall@5</w:t>
            </w:r>
          </w:p>
        </w:tc>
      </w:tr>
      <w:tr>
        <w:tc>
          <w:tcPr>
            <w:tcW w:type="dxa" w:w="1928"/>
          </w:tcPr>
          <w:p>
            <w:pPr>
              <w:jc w:val="center"/>
            </w:pPr>
            <w:r>
              <w:rPr>
                <w:b w:val="0"/>
                <w:sz w:val="18"/>
                <w:rFonts w:eastAsia="宋体"/>
              </w:rPr>
              <w:t>同项目（n=6）</w:t>
            </w:r>
          </w:p>
        </w:tc>
        <w:tc>
          <w:tcPr>
            <w:tcW w:type="dxa" w:w="1928"/>
          </w:tcPr>
          <w:p>
            <w:pPr>
              <w:jc w:val="center"/>
            </w:pPr>
            <w:r>
              <w:rPr>
                <w:b w:val="0"/>
                <w:sz w:val="18"/>
                <w:rFonts w:eastAsia="宋体"/>
              </w:rPr>
              <w:t>统计描述子</w:t>
            </w:r>
          </w:p>
        </w:tc>
        <w:tc>
          <w:tcPr>
            <w:tcW w:type="dxa" w:w="1928"/>
          </w:tcPr>
          <w:p>
            <w:pPr>
              <w:jc w:val="center"/>
            </w:pPr>
            <w:r>
              <w:rPr>
                <w:b w:val="0"/>
                <w:sz w:val="18"/>
                <w:rFonts w:eastAsia="宋体"/>
              </w:rPr>
              <w:t>0.961</w:t>
            </w:r>
          </w:p>
        </w:tc>
        <w:tc>
          <w:tcPr>
            <w:tcW w:type="dxa" w:w="1928"/>
          </w:tcPr>
          <w:p>
            <w:pPr>
              <w:jc w:val="center"/>
            </w:pPr>
            <w:r>
              <w:rPr>
                <w:b w:val="0"/>
                <w:sz w:val="18"/>
                <w:rFonts w:eastAsia="宋体"/>
              </w:rPr>
              <w:t>0.961</w:t>
            </w:r>
          </w:p>
        </w:tc>
        <w:tc>
          <w:tcPr>
            <w:tcW w:type="dxa" w:w="1928"/>
          </w:tcPr>
          <w:p>
            <w:pPr>
              <w:jc w:val="center"/>
            </w:pPr>
            <w:r>
              <w:rPr>
                <w:b w:val="0"/>
                <w:sz w:val="18"/>
                <w:rFonts w:eastAsia="宋体"/>
              </w:rPr>
              <w:t>100%</w:t>
            </w:r>
          </w:p>
        </w:tc>
      </w:tr>
      <w:tr>
        <w:tc>
          <w:tcPr>
            <w:tcW w:type="dxa" w:w="1928"/>
          </w:tcPr>
          <w:p>
            <w:pPr>
              <w:jc w:val="center"/>
            </w:pPr>
            <w:r>
              <w:rPr>
                <w:b w:val="0"/>
                <w:sz w:val="18"/>
                <w:rFonts w:eastAsia="宋体"/>
              </w:rPr>
              <w:t>同项目</w:t>
            </w:r>
          </w:p>
        </w:tc>
        <w:tc>
          <w:tcPr>
            <w:tcW w:type="dxa" w:w="1928"/>
          </w:tcPr>
          <w:p>
            <w:pPr>
              <w:jc w:val="center"/>
            </w:pPr>
            <w:r>
              <w:rPr>
                <w:b w:val="0"/>
                <w:sz w:val="18"/>
                <w:rFonts w:eastAsia="宋体"/>
              </w:rPr>
              <w:t>GNN</w:t>
            </w:r>
          </w:p>
        </w:tc>
        <w:tc>
          <w:tcPr>
            <w:tcW w:type="dxa" w:w="1928"/>
          </w:tcPr>
          <w:p>
            <w:pPr>
              <w:jc w:val="center"/>
            </w:pPr>
            <w:r>
              <w:rPr>
                <w:b w:val="0"/>
                <w:sz w:val="18"/>
                <w:rFonts w:eastAsia="宋体"/>
              </w:rPr>
              <w:t>0.954</w:t>
            </w:r>
          </w:p>
        </w:tc>
        <w:tc>
          <w:tcPr>
            <w:tcW w:type="dxa" w:w="1928"/>
          </w:tcPr>
          <w:p>
            <w:pPr>
              <w:jc w:val="center"/>
            </w:pPr>
            <w:r>
              <w:rPr>
                <w:b w:val="0"/>
                <w:sz w:val="18"/>
                <w:rFonts w:eastAsia="宋体"/>
              </w:rPr>
              <w:t>0.954</w:t>
            </w:r>
          </w:p>
        </w:tc>
        <w:tc>
          <w:tcPr>
            <w:tcW w:type="dxa" w:w="1928"/>
          </w:tcPr>
          <w:p>
            <w:pPr>
              <w:jc w:val="center"/>
            </w:pPr>
            <w:r>
              <w:rPr>
                <w:b w:val="0"/>
                <w:sz w:val="18"/>
                <w:rFonts w:eastAsia="宋体"/>
              </w:rPr>
              <w:t>100%</w:t>
            </w:r>
          </w:p>
        </w:tc>
      </w:tr>
      <w:tr>
        <w:tc>
          <w:tcPr>
            <w:tcW w:type="dxa" w:w="1928"/>
          </w:tcPr>
          <w:p>
            <w:pPr>
              <w:jc w:val="center"/>
            </w:pPr>
            <w:r>
              <w:rPr>
                <w:b w:val="0"/>
                <w:sz w:val="18"/>
                <w:rFonts w:eastAsia="宋体"/>
              </w:rPr>
              <w:t>同项目</w:t>
            </w:r>
          </w:p>
        </w:tc>
        <w:tc>
          <w:tcPr>
            <w:tcW w:type="dxa" w:w="1928"/>
          </w:tcPr>
          <w:p>
            <w:pPr>
              <w:jc w:val="center"/>
            </w:pPr>
            <w:r>
              <w:rPr>
                <w:b w:val="0"/>
                <w:sz w:val="18"/>
                <w:rFonts w:eastAsia="宋体"/>
              </w:rPr>
              <w:t>Hybrid</w:t>
            </w:r>
          </w:p>
        </w:tc>
        <w:tc>
          <w:tcPr>
            <w:tcW w:type="dxa" w:w="1928"/>
          </w:tcPr>
          <w:p>
            <w:pPr>
              <w:jc w:val="center"/>
            </w:pPr>
            <w:r>
              <w:rPr>
                <w:b w:val="0"/>
                <w:sz w:val="18"/>
                <w:rFonts w:eastAsia="宋体"/>
              </w:rPr>
              <w:t>0.961</w:t>
            </w:r>
          </w:p>
        </w:tc>
        <w:tc>
          <w:tcPr>
            <w:tcW w:type="dxa" w:w="1928"/>
          </w:tcPr>
          <w:p>
            <w:pPr>
              <w:jc w:val="center"/>
            </w:pPr>
            <w:r>
              <w:rPr>
                <w:b w:val="0"/>
                <w:sz w:val="18"/>
                <w:rFonts w:eastAsia="宋体"/>
              </w:rPr>
              <w:t>0.961</w:t>
            </w:r>
          </w:p>
        </w:tc>
        <w:tc>
          <w:tcPr>
            <w:tcW w:type="dxa" w:w="1928"/>
          </w:tcPr>
          <w:p>
            <w:pPr>
              <w:jc w:val="center"/>
            </w:pPr>
            <w:r>
              <w:rPr>
                <w:b w:val="0"/>
                <w:sz w:val="18"/>
                <w:rFonts w:eastAsia="宋体"/>
              </w:rPr>
              <w:t>100%</w:t>
            </w:r>
          </w:p>
        </w:tc>
      </w:tr>
      <w:tr>
        <w:tc>
          <w:tcPr>
            <w:tcW w:type="dxa" w:w="1928"/>
          </w:tcPr>
          <w:p>
            <w:pPr>
              <w:jc w:val="center"/>
            </w:pPr>
            <w:r>
              <w:rPr>
                <w:b w:val="0"/>
                <w:sz w:val="18"/>
                <w:rFonts w:eastAsia="宋体"/>
              </w:rPr>
              <w:t>跨项目（n=8）</w:t>
            </w:r>
          </w:p>
        </w:tc>
        <w:tc>
          <w:tcPr>
            <w:tcW w:type="dxa" w:w="1928"/>
          </w:tcPr>
          <w:p>
            <w:pPr>
              <w:jc w:val="center"/>
            </w:pPr>
            <w:r>
              <w:rPr>
                <w:b w:val="0"/>
                <w:sz w:val="18"/>
                <w:rFonts w:eastAsia="宋体"/>
              </w:rPr>
              <w:t>统计描述子</w:t>
            </w:r>
          </w:p>
        </w:tc>
        <w:tc>
          <w:tcPr>
            <w:tcW w:type="dxa" w:w="1928"/>
          </w:tcPr>
          <w:p>
            <w:pPr>
              <w:jc w:val="center"/>
            </w:pPr>
            <w:r>
              <w:rPr>
                <w:b w:val="0"/>
                <w:sz w:val="18"/>
                <w:rFonts w:eastAsia="宋体"/>
              </w:rPr>
              <w:t>0.398</w:t>
            </w:r>
          </w:p>
        </w:tc>
        <w:tc>
          <w:tcPr>
            <w:tcW w:type="dxa" w:w="1928"/>
          </w:tcPr>
          <w:p>
            <w:pPr>
              <w:jc w:val="center"/>
            </w:pPr>
            <w:r>
              <w:rPr>
                <w:b w:val="0"/>
                <w:sz w:val="18"/>
                <w:rFonts w:eastAsia="宋体"/>
              </w:rPr>
              <w:t>0.501</w:t>
            </w:r>
          </w:p>
        </w:tc>
        <w:tc>
          <w:tcPr>
            <w:tcW w:type="dxa" w:w="1928"/>
          </w:tcPr>
          <w:p>
            <w:pPr>
              <w:jc w:val="center"/>
            </w:pPr>
            <w:r>
              <w:rPr>
                <w:b w:val="0"/>
                <w:sz w:val="18"/>
                <w:rFonts w:eastAsia="宋体"/>
              </w:rPr>
              <w:t>31.25%</w:t>
            </w:r>
          </w:p>
        </w:tc>
      </w:tr>
      <w:tr>
        <w:tc>
          <w:tcPr>
            <w:tcW w:type="dxa" w:w="1928"/>
          </w:tcPr>
          <w:p>
            <w:pPr>
              <w:jc w:val="center"/>
            </w:pPr>
            <w:r>
              <w:rPr>
                <w:b w:val="0"/>
                <w:sz w:val="18"/>
                <w:rFonts w:eastAsia="宋体"/>
              </w:rPr>
              <w:t>跨项目</w:t>
            </w:r>
          </w:p>
        </w:tc>
        <w:tc>
          <w:tcPr>
            <w:tcW w:type="dxa" w:w="1928"/>
          </w:tcPr>
          <w:p>
            <w:pPr>
              <w:jc w:val="center"/>
            </w:pPr>
            <w:r>
              <w:rPr>
                <w:b w:val="0"/>
                <w:sz w:val="18"/>
                <w:rFonts w:eastAsia="宋体"/>
              </w:rPr>
              <w:t>GNN</w:t>
            </w:r>
          </w:p>
        </w:tc>
        <w:tc>
          <w:tcPr>
            <w:tcW w:type="dxa" w:w="1928"/>
          </w:tcPr>
          <w:p>
            <w:pPr>
              <w:jc w:val="center"/>
            </w:pPr>
            <w:r>
              <w:rPr>
                <w:b w:val="0"/>
                <w:sz w:val="18"/>
                <w:rFonts w:eastAsia="宋体"/>
              </w:rPr>
              <w:t>0.187</w:t>
            </w:r>
          </w:p>
        </w:tc>
        <w:tc>
          <w:tcPr>
            <w:tcW w:type="dxa" w:w="1928"/>
          </w:tcPr>
          <w:p>
            <w:pPr>
              <w:jc w:val="center"/>
            </w:pPr>
            <w:r>
              <w:rPr>
                <w:b w:val="0"/>
                <w:sz w:val="18"/>
                <w:rFonts w:eastAsia="宋体"/>
              </w:rPr>
              <w:t>0.273</w:t>
            </w:r>
          </w:p>
        </w:tc>
        <w:tc>
          <w:tcPr>
            <w:tcW w:type="dxa" w:w="1928"/>
          </w:tcPr>
          <w:p>
            <w:pPr>
              <w:jc w:val="center"/>
            </w:pPr>
            <w:r>
              <w:rPr>
                <w:b w:val="0"/>
                <w:sz w:val="18"/>
                <w:rFonts w:eastAsia="宋体"/>
              </w:rPr>
              <w:t>12.50%</w:t>
            </w:r>
          </w:p>
        </w:tc>
      </w:tr>
      <w:tr>
        <w:tc>
          <w:tcPr>
            <w:tcW w:type="dxa" w:w="1928"/>
          </w:tcPr>
          <w:p>
            <w:pPr>
              <w:jc w:val="center"/>
            </w:pPr>
            <w:r>
              <w:rPr>
                <w:b w:val="0"/>
                <w:sz w:val="18"/>
                <w:rFonts w:eastAsia="宋体"/>
              </w:rPr>
              <w:t>跨项目</w:t>
            </w:r>
          </w:p>
        </w:tc>
        <w:tc>
          <w:tcPr>
            <w:tcW w:type="dxa" w:w="1928"/>
          </w:tcPr>
          <w:p>
            <w:pPr>
              <w:jc w:val="center"/>
            </w:pPr>
            <w:r>
              <w:rPr>
                <w:b w:val="0"/>
                <w:sz w:val="18"/>
                <w:rFonts w:eastAsia="宋体"/>
              </w:rPr>
              <w:t>Hybrid</w:t>
            </w:r>
          </w:p>
        </w:tc>
        <w:tc>
          <w:tcPr>
            <w:tcW w:type="dxa" w:w="1928"/>
          </w:tcPr>
          <w:p>
            <w:pPr>
              <w:jc w:val="center"/>
            </w:pPr>
            <w:r>
              <w:rPr>
                <w:b w:val="0"/>
                <w:sz w:val="18"/>
                <w:rFonts w:eastAsia="宋体"/>
              </w:rPr>
              <w:t>0.386</w:t>
            </w:r>
          </w:p>
        </w:tc>
        <w:tc>
          <w:tcPr>
            <w:tcW w:type="dxa" w:w="1928"/>
          </w:tcPr>
          <w:p>
            <w:pPr>
              <w:jc w:val="center"/>
            </w:pPr>
            <w:r>
              <w:rPr>
                <w:b w:val="0"/>
                <w:sz w:val="18"/>
                <w:rFonts w:eastAsia="宋体"/>
              </w:rPr>
              <w:t>0.456</w:t>
            </w:r>
          </w:p>
        </w:tc>
        <w:tc>
          <w:tcPr>
            <w:tcW w:type="dxa" w:w="1928"/>
          </w:tcPr>
          <w:p>
            <w:pPr>
              <w:jc w:val="center"/>
            </w:pPr>
            <w:r>
              <w:rPr>
                <w:b w:val="0"/>
                <w:sz w:val="18"/>
                <w:rFonts w:eastAsia="宋体"/>
              </w:rPr>
              <w:t>31.25%</w:t>
            </w:r>
          </w:p>
        </w:tc>
      </w:tr>
    </w:tbl>
    <w:p>
      <w:pPr>
        <w:jc w:val="center"/>
      </w:pPr>
      <w:r>
        <w:drawing>
          <wp:inline xmlns:a="http://schemas.openxmlformats.org/drawingml/2006/main" xmlns:pic="http://schemas.openxmlformats.org/drawingml/2006/picture">
            <wp:extent cx="4500000" cy="2550000"/>
            <wp:docPr id="5" name="Picture 5"/>
            <wp:cNvGraphicFramePr>
              <a:graphicFrameLocks noChangeAspect="1"/>
            </wp:cNvGraphicFramePr>
            <a:graphic>
              <a:graphicData uri="http://schemas.openxmlformats.org/drawingml/2006/picture">
                <pic:pic>
                  <pic:nvPicPr>
                    <pic:cNvPr id="0" name="fig4_cross_project.png"/>
                    <pic:cNvPicPr/>
                  </pic:nvPicPr>
                  <pic:blipFill>
                    <a:blip r:embed="rId35"/>
                    <a:stretch>
                      <a:fillRect/>
                    </a:stretch>
                  </pic:blipFill>
                  <pic:spPr>
                    <a:xfrm>
                      <a:off x="0" y="0"/>
                      <a:ext cx="4500000" cy="2550000"/>
                    </a:xfrm>
                    <a:prstGeom prst="rect"/>
                  </pic:spPr>
                </pic:pic>
              </a:graphicData>
            </a:graphic>
          </wp:inline>
        </w:drawing>
      </w:r>
    </w:p>
    <w:p>
      <w:pPr>
        <w:pStyle w:val="a6"/>
      </w:pPr>
      <w:r>
        <w:t>图5 同项目与跨项目检索性能对比</w:t>
      </w:r>
    </w:p>
    <w:p>
      <w:pPr/>
      <w:r>
        <w:t>同项目子集任务容易，三种方法均接近饱和（NDCG@5≥0.95）；跨项目子集难度明显上升，各方法总体水平下降。在本研究专家样本的跨项目子集中（n=8），统计描述子（NDCG@5=0.501）明显高于GNN（0.273）与Hybrid（0.456），显示出更好的跨项目检索表现。由于跨项目子集样本量有限，本文不将其推广为普适性结论，但跨项目检索正是工程应用的核心场景，该结果仍具有明确的实践参考意义。</w:t>
      </w:r>
    </w:p>
    <w:p>
      <w:pPr>
        <w:pStyle w:val="2"/>
      </w:pPr>
      <w:r>
        <w:t>5.6典型案例分析</w:t>
      </w:r>
    </w:p>
    <w:p>
      <w:pPr/>
      <w:r>
        <w:t>为直观展示检索行为，图6给出三组典型案例的结构平面构成对比。图中每张图纸按解析管线的构件分类着色：黑色为剪力墙、灰色为短肢剪力墙、白框为柱。</w:t>
      </w:r>
    </w:p>
    <w:p>
      <w:pPr>
        <w:jc w:val="center"/>
      </w:pPr>
      <w:r>
        <w:drawing>
          <wp:inline xmlns:a="http://schemas.openxmlformats.org/drawingml/2006/main" xmlns:pic="http://schemas.openxmlformats.org/drawingml/2006/picture">
            <wp:extent cx="5760000" cy="4613383"/>
            <wp:docPr id="6" name="Picture 6"/>
            <wp:cNvGraphicFramePr>
              <a:graphicFrameLocks noChangeAspect="1"/>
            </wp:cNvGraphicFramePr>
            <a:graphic>
              <a:graphicData uri="http://schemas.openxmlformats.org/drawingml/2006/picture">
                <pic:pic>
                  <pic:nvPicPr>
                    <pic:cNvPr id="0" name="fig6_cases.png"/>
                    <pic:cNvPicPr/>
                  </pic:nvPicPr>
                  <pic:blipFill>
                    <a:blip r:embed="rId36"/>
                    <a:stretch>
                      <a:fillRect/>
                    </a:stretch>
                  </pic:blipFill>
                  <pic:spPr>
                    <a:xfrm>
                      <a:off x="0" y="0"/>
                      <a:ext cx="5760000" cy="4613383"/>
                    </a:xfrm>
                    <a:prstGeom prst="rect"/>
                  </pic:spPr>
                </pic:pic>
              </a:graphicData>
            </a:graphic>
          </wp:inline>
        </w:drawing>
      </w:r>
    </w:p>
    <w:p>
      <w:pPr>
        <w:pStyle w:val="a6"/>
      </w:pPr>
      <w:r>
        <w:t>图6 典型检索案例的结构平面构成对比</w:t>
      </w:r>
    </w:p>
    <w:p>
      <w:pPr/>
      <w:r>
        <w:t>案例（a）为高一致案例：查询湘湖里_框架_H3的统计路线Top-1与Top-2候选（H8、H9）均获专家3分，GNN路线Top-1候选（H4）获4分，检索前列与专家判断高度一致，说明描述子能够捕捉同类标准方案之间的真实相似性。案例（b）同时体现了跨项目相似与弱标签失效：查询景芳三堡_框剪_B的跨项目候选勾庄好运来_框剪_20获专家3分，而同项目候选景芳三堡_框剪_C仅获1分——项目归属并不能保证结构相似；值得注意的是，统计路线Top-1候选西大门_框剪_2被专家评为0分。案例（c）进一步展示了这类误判：查询苏州华贸_剪力墙_10A的统计路线Top-1候选（勾庄好运来_剪力墙_8）仅获1分，而专家认为最有参考价值的苏州华贸_剪力墙_6B排在统计路线第5位。这些案例表明，当前11维全局统计描述子能够稳定识别“体系相同、构成接近”的案例，但对构件拓扑连接与局部布置差异尚不敏感，这正是后续引入更精细空间与拓扑描述的方向。</w:t>
      </w:r>
    </w:p>
    <w:p>
      <w:pPr>
        <w:pStyle w:val="1"/>
      </w:pPr>
      <w:r>
        <w:t>6 讨论</w:t>
      </w:r>
    </w:p>
    <w:p>
      <w:pPr>
        <w:pStyle w:val="2"/>
      </w:pPr>
      <w:r>
        <w:t>6.1方法定位：结构相似性的量化探索</w:t>
      </w:r>
    </w:p>
    <w:p>
      <w:pPr/>
      <w:r>
        <w:t>本文工作的核心不是提出某个新算法，而是对一个此前缺少明确量化方法的问题——“建筑结构图纸之间如何定义和评价结构相似”——给出了一条可复现的技术路径：以工程先验（结构体系）约束检索空间，以工程语义（构件组成与尺度）描述结构，以专家评分定义相关性，并以项目身份置换检验保证检索过程不受项目信息影响。本文的全部结论均限定在当前数据集与实验设置之内，其价值在于方法框架与评价体系本身，后者在案例库与标注规模扩大时可直接沿用。</w:t>
      </w:r>
    </w:p>
    <w:p>
      <w:pPr>
        <w:pStyle w:val="2"/>
      </w:pPr>
      <w:r>
        <w:t>6.2工程语义统计描述子为何有效、类型占比为何最具判别力</w:t>
      </w:r>
    </w:p>
    <w:p>
      <w:pPr/>
      <w:r>
        <w:t>统计描述子的有效性源于其与结构工程认知的对齐：设计人员判断结构相似性时，首先关注结构体系及其构件构成，而11维描述子正是按这一认知层级组织的。类型占比的最强判别力则有明确的工程依据：我国建筑抗震设计相关标准对各结构体系的适用高度、构件构成与抗震措施有明确规定[4-5]，使同一体系内的案例在构件构成上天然趋同，类型占比因此成为天然的强特征。另一方面，类型占比与面积占比存在一定冗余——某类构件数量占比高时，其面积占比往往也高，这与累加消融中类型占比基础上加入面积占比提升有限的现象一致。</w:t>
      </w:r>
    </w:p>
    <w:p>
      <w:pPr>
        <w:pStyle w:val="2"/>
      </w:pPr>
      <w:r>
        <w:t>6.3当前空间特征的表达局限</w:t>
      </w:r>
    </w:p>
    <w:p>
      <w:pPr/>
      <w:r>
        <w:t>消融实验中空间统计未表现出独立增益，本文对此持谨慎解释：当前仅使用最近邻距离的均值与标准差两个全局统计量，其表达粒度不足以有效区分同体系内的布置差异，而不能据此认为空间布置对结构相似性不重要。案例（c）中的误判也提示，全局统计量难以刻画构件拓扑连接与局部布置。后续将探索空间网格编码、构件邻接图匹配等更精细的空间描述。</w:t>
      </w:r>
    </w:p>
    <w:p>
      <w:pPr>
        <w:pStyle w:val="2"/>
      </w:pPr>
      <w:r>
        <w:t>6.4GNN表征为何未表现出优势</w:t>
      </w:r>
    </w:p>
    <w:p>
      <w:pPr/>
      <w:r>
        <w:t>本文采用的、以结构体系分类为训练目标的GNN表征路线未表现出优势，其主要原因是训练目标与检索任务的错位：交叉熵分类监督优化的是类型间可分性，其结果是类内嵌入被压缩到极小区域（三类类内两两余弦相似度均值达0.80～0.999），形成类内表征坍缩，无法为第二阶段类内排序提供细粒度区分。这一观察并非对深度表征学习的否定：在框架类中GNN仍提供了个别高分增量候选，且106张图纸的样本规模也限制了高维嵌入的学习。以相似性为目标的度量学习或对比学习训练方式[15-17]，配合更大规模的专家标注，值得在后续工作中检验。</w:t>
      </w:r>
    </w:p>
    <w:p>
      <w:pPr>
        <w:pStyle w:val="2"/>
      </w:pPr>
      <w:r>
        <w:t>6.5方法局限性</w:t>
      </w:r>
    </w:p>
    <w:p>
      <w:pPr/>
      <w:r>
        <w:t>本研究存在以下局限：（1）数据规模有限（106张图纸、20个项目），结论适用于当前案例库，尚不具备普适算法意义上的代表性；（2）专家标注由单一工程师完成，未进行多专家一致性检验（如加权κ系数），后续应增加至少一名结构工程师对部分样本复评；（3）空间统计特征表达粒度有限；（4）构件图以质心KNN建边，未利用墙体与柱之间实际的传力路径信息；（5）曼哈顿距离的优越性是当前数据集上的实验观察而非普适定理，距离度量与特征表示存在耦合，描述子变化时需要重新验证。</w:t>
      </w:r>
    </w:p>
    <w:p>
      <w:pPr>
        <w:pStyle w:val="1"/>
      </w:pPr>
      <w:r>
        <w:t>7 结论</w:t>
      </w:r>
    </w:p>
    <w:p>
      <w:pPr/>
      <w:r>
        <w:t>本文针对建筑结构历史图纸的结构相似案例检索问题，提出了结构体系约束的两阶段结构相似性检索方法，构建了结构统计描述子与专家评价基准。在当前数据集与实验设置下，主要结论如下：</w:t>
      </w:r>
    </w:p>
    <w:p>
      <w:pPr/>
      <w:r>
        <w:t>1）按“结构体系—构件权重—尺寸规模—尺寸离散—空间布局”信息层级构建的11维结构统计描述子，能够定量刻画结构的全局特征；库内留一检索式结构体系识别Top-1准确率为87.7%；“先判型、后类内检索”的两阶段框架符合工程认知习惯，避免了跨结构体系的误匹配。</w:t>
      </w:r>
    </w:p>
    <w:p>
      <w:pPr/>
      <w:r>
        <w:t>2）特征标准化是描述子发挥作用的关键步骤；标准化描述子与曼哈顿距离的组合在专家基准上取得最佳检索性能（NDCG@3=0.746，Recall@3=35.6%，MeanScore@3=1.111），且距离度量的选择与描述子存在明显耦合。</w:t>
      </w:r>
    </w:p>
    <w:p>
      <w:pPr/>
      <w:r>
        <w:t>3）在当前案例库与评价设置下，构件类型占比是最具判别力的特征组；当前空间统计量的表达粒度不足以区分同体系内的布置差异，是后续改进方向。</w:t>
      </w:r>
    </w:p>
    <w:p>
      <w:pPr/>
      <w:r>
        <w:t>4）“同项目”只能作为弱标签：同项目案例对平均专家评分1.58，跨项目对仅0.55，且一半同项目对被判为不相似、11%的跨项目对被认为有参考价值；本文建立的专家基准与“检索项目无关、评估项目感知”原则（经项目名置换检验验证）为该方向研究提供了评价基础。在本研究专家样本的跨项目子集中，统计描述子（NDCG@5=0.501）明显高于GNN表征（0.273），显示出更好的跨项目检索表现。</w:t>
      </w:r>
    </w:p>
    <w:p>
      <w:pPr/>
      <w:r>
        <w:t>5）本文采用的、以分类为目标训练的GNN表征路线未表现出优势，类内坍缩使其无法支持细粒度类内排序，但在高度同质的框架类中仍能提供少量高分增量候选；面向相似性目标的深度表征学习方法值得进一步研究。</w:t>
      </w:r>
    </w:p>
    <w:p>
      <w:pPr/>
      <w:r>
        <w:t>需要指出，本文数据集规模（106张图纸、20个项目）与专家标注规模（171对、单一专家）仍然有限，上述结论适用于当前数据与实验设置；本文方法框架与评价体系在案例库与标注规模扩大时仍可直接沿用。</w:t>
      </w:r>
    </w:p>
    <w:p>
      <w:pPr>
        <w:pStyle w:val="1"/>
      </w:pPr>
      <w:r>
        <w:t>参考文献</w:t>
      </w:r>
    </w:p>
    <w:p>
      <w:pPr>
        <w:pStyle w:val="ac"/>
      </w:pPr>
      <w:r>
        <w:t>[1] KOLODNER J L. Case-based reasoning [M]. San Francisco: Morgan Kaufmann, 1993.</w:t>
      </w:r>
    </w:p>
    <w:p>
      <w:pPr>
        <w:pStyle w:val="ac"/>
      </w:pPr>
      <w:r>
        <w:t>[2] AAMODT A, PLAZA E. Case-based reasoning: foundational issues, methodological variations, and system approaches [J]. AI Communications, 1994, 7(1): 39-59.</w:t>
      </w:r>
    </w:p>
    <w:p>
      <w:pPr>
        <w:pStyle w:val="ac"/>
      </w:pPr>
      <w:r>
        <w:t>[3] WATSON I. Applying case-based reasoning: techniques for enterprise systems [M]. San Francisco: Morgan Kaufmann, 1997.</w:t>
      </w:r>
    </w:p>
    <w:p>
      <w:pPr>
        <w:pStyle w:val="ac"/>
      </w:pPr>
      <w:r>
        <w:t>[4] GB 50011—2010 建筑抗震设计规范（2016年版） [S]. 北京: 中国建筑工业出版社, 2016.</w:t>
      </w:r>
    </w:p>
    <w:p>
      <w:pPr>
        <w:pStyle w:val="ac"/>
      </w:pPr>
      <w:r>
        <w:t>[5] JGJ 3—2010 高层建筑混凝土结构技术规程 [S]. 北京: 中国建筑工业出版社, 2011.</w:t>
      </w:r>
    </w:p>
    <w:p>
      <w:pPr>
        <w:pStyle w:val="ac"/>
      </w:pPr>
      <w:r>
        <w:t>[6] EASTMAN C, TEICHOLZ P, SACKS R, et al. BIM handbook: a guide to building information modeling for owners, designers, engineers, contractors, and facility managers [M]. 3rd ed. Hoboken: John Wiley &amp; Sons, 2018.</w:t>
      </w:r>
    </w:p>
    <w:p>
      <w:pPr>
        <w:pStyle w:val="ac"/>
      </w:pPr>
      <w:r>
        <w:t>[7] DATTA R, JOSHI D, LI J, et al. Image retrieval: ideas, influences, and trends of the decade [J]. ACM Computing Surveys, 2008, 40(2): 5:1-5:60.</w:t>
      </w:r>
    </w:p>
    <w:p>
      <w:pPr>
        <w:pStyle w:val="ac"/>
      </w:pPr>
      <w:r>
        <w:t>[8] LATECKI L J, LAKÄMPER R, ECKHARDT T. Shape descriptors for non-rigid shapes with a single closed contour [C]//Proceedings of IEEE Conference on Computer Vision and Pattern Recognition (CVPR). Hilton Head: IEEE, 2000: 424-429.</w:t>
      </w:r>
    </w:p>
    <w:p>
      <w:pPr>
        <w:pStyle w:val="ac"/>
      </w:pPr>
      <w:r>
        <w:t>[9] FIX E, HODGES J L. Discriminatory analysis: nonparametric discrimination, consistency properties [R]. Randolph Field: USAF School of Aviation Medicine, 1951.</w:t>
      </w:r>
    </w:p>
    <w:p>
      <w:pPr>
        <w:pStyle w:val="ac"/>
      </w:pPr>
      <w:r>
        <w:t>[10] WU Z, PAN S, CHEN F, et al. A comprehensive survey on graph neural networks [J]. IEEE Transactions on Neural Networks and Learning Systems, 2021, 32(1): 4-24.</w:t>
      </w:r>
    </w:p>
    <w:p>
      <w:pPr>
        <w:pStyle w:val="ac"/>
      </w:pPr>
      <w:r>
        <w:t>[11] KIPF T N, WELLING M. Semi-supervised classification with graph convolutional networks [C]//Proceedings of the 5th International Conference on Learning Representations (ICLR). Toulon: OpenReview.net, 2017.</w:t>
      </w:r>
    </w:p>
    <w:p>
      <w:pPr>
        <w:pStyle w:val="ac"/>
      </w:pPr>
      <w:r>
        <w:t>[12] HAMILTON W L, YING R, LESKOVEC J. Inductive representation learning on large graphs [C]//Advances in Neural Information Processing Systems 30. Long Beach: Curran Associates, 2017: 1024-1034.</w:t>
      </w:r>
    </w:p>
    <w:p>
      <w:pPr>
        <w:pStyle w:val="ac"/>
      </w:pPr>
      <w:r>
        <w:t>[13] VELIČKOVIĆ P, CUCURULL G, CASANOVA A, et al. Graph attention networks [C]//Proceedings of the 6th International Conference on Learning Representations (ICLR). Vancouver: OpenReview.net, 2018.</w:t>
      </w:r>
    </w:p>
    <w:p>
      <w:pPr>
        <w:pStyle w:val="ac"/>
      </w:pPr>
      <w:r>
        <w:t>[14] XU K, HU W, LESKOVEC J, et al. How powerful are graph neural networks? [C]//Proceedings of the 7th International Conference on Learning Representations (ICLR). New Orleans: OpenReview.net, 2019.</w:t>
      </w:r>
    </w:p>
    <w:p>
      <w:pPr>
        <w:pStyle w:val="ac"/>
      </w:pPr>
      <w:r>
        <w:t>[15] KULIS B. Metric learning: a survey [J]. Foundations and Trends in Machine Learning, 2013, 5(4): 287-364.</w:t>
      </w:r>
    </w:p>
    <w:p>
      <w:pPr>
        <w:pStyle w:val="ac"/>
      </w:pPr>
      <w:r>
        <w:t>[16] SCHROFF F, KALENICHENKO D, PHILBIN J. FaceNet: a unified embedding for face recognition and clustering [C]//2015 IEEE Conference on Computer Vision and Pattern Recognition (CVPR). Boston: IEEE, 2015: 815-823.</w:t>
      </w:r>
    </w:p>
    <w:p>
      <w:pPr>
        <w:pStyle w:val="ac"/>
      </w:pPr>
      <w:r>
        <w:t>[17] CHOPRA S, HADSELL R, LECUN Y. Learning a similarity metric discriminatively, with application to face verification [C]//2005 IEEE Computer Society Conference on Computer Vision and Pattern Recognition (CVPR). San Diego: IEEE, 2005: 353-360.</w:t>
      </w:r>
    </w:p>
    <w:p>
      <w:pPr>
        <w:pStyle w:val="ac"/>
      </w:pPr>
      <w:r>
        <w:t>[18] JÄRVELIN K, KEKÄLÄINEN J. Cumulated gain-based evaluation of IR techniques [J]. ACM Transactions on Information Systems, 2002, 20(4): 422-446.</w:t>
      </w:r>
    </w:p>
    <w:p>
      <w:pPr>
        <w:pStyle w:val="ac"/>
      </w:pPr>
      <w:r>
        <w:t>[19] VAN DER MAATEN L, HINTON G. Visualizing data using t-SNE [J]. Journal of Machine Learning Research, 2008, 9: 2579-2605.</w:t>
      </w:r>
    </w:p>
    <w:p>
      <w:pPr>
        <w:pStyle w:val="ac"/>
      </w:pPr>
      <w:r>
        <w:t>第一作者：钱路曦，男，硕士，工程师，浙江绿城建筑设计有限公司</w:t>
      </w:r>
    </w:p>
    <w:p>
      <w:pPr>
        <w:pStyle w:val="ac"/>
      </w:pPr>
      <w:r>
        <w:t>Email：qianluxi@gad.com.cn</w:t>
      </w:r>
    </w:p>
    <w:p>
      <w:pPr>
        <w:pStyle w:val="ac"/>
      </w:pPr>
      <w:r>
        <w:t>联系人：钱路曦</w:t>
      </w:r>
    </w:p>
    <w:p>
      <w:pPr>
        <w:pStyle w:val="ac"/>
      </w:pPr>
      <w:r>
        <w:t>基金资助项目名称及项目号：无</w:t>
      </w:r>
    </w:p>
    <w:p>
      <w:pPr>
        <w:pStyle w:val="ac"/>
      </w:pPr>
      <w:r>
        <w:t>文中图1～图6均为作者自绘，表1～表10均为实验结果统计</w:t>
      </w:r>
    </w:p>
    <w:sectPr w:rsidR="00B30481" w:rsidRPr="00F179C8" w:rsidSect="00EC7429">
      <w:footnotePr>
        <w:numFmt w:val="chicago"/>
        <w:numStart w:val="2"/>
      </w:footnotePr>
      <w:endnotePr>
        <w:numFmt w:val="decimal"/>
      </w:endnotePr>
      <w:type w:val="continuous"/>
      <w:pgSz w:w="11906" w:h="16838" w:code="9"/>
      <w:pgMar w:top="1531" w:right="1134" w:bottom="1134" w:left="1134" w:header="851" w:footer="851" w:gutter="0"/>
      <w:cols w:num="2" w:space="425"/>
      <w:docGrid w:type="lines" w:linePitch="301" w:charSpace="3923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钱路曦" w:date="2021-01-08T14:03:00Z" w:initials="钱路曦">
    <w:p w14:paraId="0331199B" w14:textId="77777777" w:rsidR="003F39B2" w:rsidRDefault="003F39B2">
      <w:pPr>
        <w:pStyle w:val="af6"/>
        <w:ind w:firstLine="420"/>
      </w:pPr>
      <w:r>
        <w:rPr>
          <w:rStyle w:val="af5"/>
        </w:rPr>
        <w:annotationRef/>
      </w:r>
      <w:r>
        <w:t>补充了中文摘要</w:t>
      </w:r>
    </w:p>
  </w:comment>
  <w:comment w:id="3" w:author="钱路曦" w:date="2021-01-08T13:56:00Z" w:initials="钱路曦">
    <w:p w14:paraId="0DB010CD" w14:textId="77777777" w:rsidR="003F39B2" w:rsidRDefault="003F39B2">
      <w:pPr>
        <w:pStyle w:val="af6"/>
        <w:ind w:firstLine="420"/>
      </w:pPr>
      <w:r>
        <w:rPr>
          <w:rStyle w:val="af5"/>
        </w:rPr>
        <w:annotationRef/>
      </w:r>
      <w:r>
        <w:t>已重写英文摘要</w:t>
      </w:r>
    </w:p>
  </w:comment>
  <w:comment w:id="4" w:author="钱路曦" w:date="2021-01-08T16:39:00Z" w:initials="钱路曦">
    <w:p w14:paraId="31F7C91D" w14:textId="2321B2CF" w:rsidR="000C7C1D" w:rsidRDefault="000C7C1D">
      <w:pPr>
        <w:pStyle w:val="af6"/>
        <w:ind w:firstLine="420"/>
      </w:pPr>
      <w:r>
        <w:rPr>
          <w:rStyle w:val="af5"/>
        </w:rPr>
        <w:annotationRef/>
      </w:r>
      <w:r>
        <w:t>补充理论的发展历史</w:t>
      </w:r>
      <w:r>
        <w:rPr>
          <w:rFonts w:hint="eastAsia"/>
        </w:rPr>
        <w:t>，增加参考文献</w:t>
      </w:r>
    </w:p>
  </w:comment>
  <w:comment w:id="5" w:author="钱路曦" w:date="2021-01-08T14:04:00Z" w:initials="钱路曦">
    <w:p w14:paraId="059633F9" w14:textId="495B0388" w:rsidR="009D3456" w:rsidRDefault="009D3456">
      <w:pPr>
        <w:pStyle w:val="af6"/>
        <w:ind w:firstLine="420"/>
      </w:pPr>
      <w:r>
        <w:rPr>
          <w:rStyle w:val="af5"/>
        </w:rPr>
        <w:annotationRef/>
      </w:r>
      <w:r>
        <w:rPr>
          <w:rFonts w:hint="eastAsia"/>
        </w:rPr>
        <w:t>格式修改</w:t>
      </w:r>
    </w:p>
  </w:comment>
  <w:comment w:id="6" w:author="钱路曦" w:date="2021-01-08T14:08:00Z" w:initials="钱路曦">
    <w:p w14:paraId="65FF56E8" w14:textId="4E2926FF" w:rsidR="00516493" w:rsidRDefault="00516493">
      <w:pPr>
        <w:pStyle w:val="af6"/>
        <w:ind w:firstLine="420"/>
      </w:pPr>
      <w:r>
        <w:rPr>
          <w:rStyle w:val="af5"/>
        </w:rPr>
        <w:annotationRef/>
      </w:r>
      <w:r>
        <w:t>单位统一</w:t>
      </w:r>
    </w:p>
  </w:comment>
  <w:comment w:id="7" w:author="钱路曦" w:date="2021-01-08T14:09:00Z" w:initials="钱路曦">
    <w:p w14:paraId="442B7D75" w14:textId="182CABD4" w:rsidR="00516493" w:rsidRDefault="00516493">
      <w:pPr>
        <w:pStyle w:val="af6"/>
        <w:ind w:firstLine="420"/>
      </w:pPr>
      <w:r>
        <w:rPr>
          <w:rStyle w:val="af5"/>
        </w:rPr>
        <w:annotationRef/>
      </w:r>
      <w:r>
        <w:t>单位统一</w:t>
      </w:r>
    </w:p>
  </w:comment>
  <w:comment w:id="8" w:author="钱路曦" w:date="2021-01-08T14:22:00Z" w:initials="钱路曦">
    <w:p w14:paraId="65DD6FBA" w14:textId="374CC77D" w:rsidR="00211A5A" w:rsidRDefault="00211A5A">
      <w:pPr>
        <w:pStyle w:val="af6"/>
        <w:ind w:firstLine="420"/>
      </w:pPr>
      <w:r>
        <w:rPr>
          <w:rStyle w:val="af5"/>
        </w:rPr>
        <w:annotationRef/>
      </w:r>
      <w:r>
        <w:rPr>
          <w:rFonts w:hint="eastAsia"/>
        </w:rPr>
        <w:t>单位统一</w:t>
      </w:r>
    </w:p>
  </w:comment>
  <w:comment w:id="9" w:author="钱路曦" w:date="2021-01-08T14:11:00Z" w:initials="钱路曦">
    <w:p w14:paraId="3FF17ED0" w14:textId="13D68F38" w:rsidR="007A7095" w:rsidRDefault="007A7095">
      <w:pPr>
        <w:pStyle w:val="af6"/>
        <w:ind w:firstLine="420"/>
      </w:pPr>
      <w:r>
        <w:rPr>
          <w:rStyle w:val="af5"/>
        </w:rPr>
        <w:annotationRef/>
      </w:r>
      <w:r>
        <w:t>笔误修改</w:t>
      </w:r>
    </w:p>
  </w:comment>
  <w:comment w:id="10" w:author="钱路曦" w:date="2021-01-08T14:05:00Z" w:initials="钱路曦">
    <w:p w14:paraId="6425F7F9" w14:textId="03A7C38A" w:rsidR="009D3456" w:rsidRDefault="009D3456">
      <w:pPr>
        <w:pStyle w:val="af6"/>
        <w:ind w:firstLine="420"/>
      </w:pPr>
      <w:r>
        <w:rPr>
          <w:rStyle w:val="af5"/>
        </w:rPr>
        <w:annotationRef/>
      </w:r>
      <w:r>
        <w:rPr>
          <w:rFonts w:hint="eastAsia"/>
        </w:rPr>
        <w:t>格式修改</w:t>
      </w:r>
    </w:p>
  </w:comment>
  <w:comment w:id="11" w:author="钱路曦" w:date="2021-01-08T20:14:00Z" w:initials="钱路曦">
    <w:p w14:paraId="7F2E04ED" w14:textId="27A57989" w:rsidR="00452DF3" w:rsidRDefault="00452DF3">
      <w:pPr>
        <w:pStyle w:val="af6"/>
        <w:ind w:firstLine="420"/>
      </w:pPr>
      <w:r>
        <w:rPr>
          <w:rStyle w:val="af5"/>
        </w:rPr>
        <w:annotationRef/>
      </w:r>
      <w:r>
        <w:t>补充计算数据</w:t>
      </w:r>
    </w:p>
  </w:comment>
  <w:comment w:id="12" w:author="钱路曦" w:date="2021-01-08T20:14:00Z" w:initials="钱路曦">
    <w:p w14:paraId="12344010" w14:textId="5F05167C" w:rsidR="00452DF3" w:rsidRDefault="00452DF3">
      <w:pPr>
        <w:pStyle w:val="af6"/>
        <w:ind w:firstLine="420"/>
      </w:pPr>
      <w:r>
        <w:rPr>
          <w:rStyle w:val="af5"/>
        </w:rPr>
        <w:annotationRef/>
      </w:r>
      <w:r>
        <w:t>补充计算数据</w:t>
      </w:r>
      <w:r w:rsidR="004F698B">
        <w:t>及图形</w:t>
      </w:r>
      <w:r w:rsidR="0089247C">
        <w:rPr>
          <w:rFonts w:hint="eastAsia"/>
        </w:rPr>
        <w:t>，</w:t>
      </w:r>
      <w:r w:rsidR="0089247C">
        <w:t>反应结构整体的变形情况</w:t>
      </w:r>
    </w:p>
  </w:comment>
  <w:comment w:id="13" w:author="钱路曦" w:date="2021-01-08T20:19:00Z" w:initials="钱路曦">
    <w:p w14:paraId="69B2C5AC" w14:textId="4E9437A4" w:rsidR="00585A92" w:rsidRDefault="00585A92">
      <w:pPr>
        <w:pStyle w:val="af6"/>
        <w:ind w:firstLine="420"/>
      </w:pPr>
      <w:r>
        <w:rPr>
          <w:rStyle w:val="af5"/>
        </w:rPr>
        <w:annotationRef/>
      </w:r>
      <w:r>
        <w:t>增加数据支撑</w:t>
      </w:r>
    </w:p>
  </w:comment>
  <w:comment w:id="14" w:author="钱路曦" w:date="2021-01-08T14:40:00Z" w:initials="钱路曦">
    <w:p w14:paraId="40E4977F" w14:textId="61EDC159" w:rsidR="002163A3" w:rsidRDefault="002163A3">
      <w:pPr>
        <w:pStyle w:val="af6"/>
        <w:ind w:firstLine="420"/>
      </w:pPr>
      <w:r>
        <w:rPr>
          <w:rStyle w:val="af5"/>
        </w:rPr>
        <w:annotationRef/>
      </w:r>
      <w:r>
        <w:t>删除重复标注</w:t>
      </w:r>
    </w:p>
  </w:comment>
  <w:comment w:id="15" w:author="钱路曦" w:date="2021-01-08T14:06:00Z" w:initials="钱路曦">
    <w:p w14:paraId="1A9F0C5F" w14:textId="6AFD1A3A" w:rsidR="009D3456" w:rsidRDefault="009D3456">
      <w:pPr>
        <w:pStyle w:val="af6"/>
        <w:ind w:firstLine="420"/>
      </w:pPr>
      <w:r>
        <w:rPr>
          <w:rStyle w:val="af5"/>
        </w:rPr>
        <w:annotationRef/>
      </w:r>
      <w:r>
        <w:t>格式修改</w:t>
      </w:r>
    </w:p>
  </w:comment>
  <w:comment w:id="16" w:author="钱路曦" w:date="2021-01-08T14:58:00Z" w:initials="钱路曦">
    <w:p w14:paraId="268E28D1" w14:textId="22A4D8F7" w:rsidR="003D7739" w:rsidRDefault="003D7739">
      <w:pPr>
        <w:pStyle w:val="af6"/>
        <w:ind w:firstLine="420"/>
      </w:pPr>
      <w:r>
        <w:rPr>
          <w:rStyle w:val="af5"/>
        </w:rPr>
        <w:annotationRef/>
      </w:r>
      <w:r>
        <w:t>修改图例以区分两种不同计算模型</w:t>
      </w:r>
      <w:r>
        <w:rPr>
          <w:rFonts w:hint="eastAsia"/>
        </w:rPr>
        <w:t>。</w:t>
      </w:r>
      <w:r>
        <w:t>此图形为在</w:t>
      </w:r>
      <w:r>
        <w:t>SAUSAGE</w:t>
      </w:r>
      <w:r>
        <w:t>中采用天然</w:t>
      </w:r>
      <w:proofErr w:type="gramStart"/>
      <w:r>
        <w:t>波计算</w:t>
      </w:r>
      <w:proofErr w:type="gramEnd"/>
      <w:r>
        <w:t>的结构顶点位移曲线</w:t>
      </w:r>
      <w:r w:rsidR="003609B7">
        <w:rPr>
          <w:rFonts w:hint="eastAsia"/>
        </w:rPr>
        <w:t>，由</w:t>
      </w:r>
      <w:r w:rsidR="003609B7">
        <w:t>程序直接导出</w:t>
      </w:r>
      <w:r w:rsidR="003609B7">
        <w:rPr>
          <w:rFonts w:hint="eastAsia"/>
        </w:rPr>
        <w:t>。</w:t>
      </w:r>
      <w:r>
        <w:t>天然</w:t>
      </w:r>
      <w:proofErr w:type="gramStart"/>
      <w:r>
        <w:t>波具有</w:t>
      </w:r>
      <w:proofErr w:type="gramEnd"/>
      <w:r>
        <w:t>很大的随机性</w:t>
      </w:r>
      <w:r>
        <w:rPr>
          <w:rFonts w:hint="eastAsia"/>
        </w:rPr>
        <w:t>，此顶点位移曲线符合此地震波的震动特性。</w:t>
      </w:r>
    </w:p>
  </w:comment>
  <w:comment w:id="23" w:author="钱路曦" w:date="2021-01-08T15:14:00Z" w:initials="钱路曦">
    <w:p w14:paraId="13327DCB" w14:textId="5B27F403" w:rsidR="00FD6D6E" w:rsidRDefault="00FD6D6E">
      <w:pPr>
        <w:pStyle w:val="af6"/>
        <w:ind w:firstLine="420"/>
      </w:pPr>
      <w:r>
        <w:rPr>
          <w:rStyle w:val="af5"/>
        </w:rPr>
        <w:annotationRef/>
      </w:r>
      <w:r>
        <w:t>给出更为具体的分析研究结果</w:t>
      </w:r>
    </w:p>
  </w:comment>
  <w:comment w:id="24" w:author="钱路曦" w:date="2021-01-08T15:17:00Z" w:initials="钱路曦">
    <w:p w14:paraId="127ABCFE" w14:textId="597CDA8D" w:rsidR="00833BAD" w:rsidRDefault="00833BAD">
      <w:pPr>
        <w:pStyle w:val="af6"/>
        <w:ind w:firstLine="420"/>
      </w:pPr>
      <w:r>
        <w:rPr>
          <w:rStyle w:val="af5"/>
        </w:rPr>
        <w:annotationRef/>
      </w:r>
      <w:r>
        <w:t>给出更为具体的分析研究结果</w:t>
      </w:r>
    </w:p>
  </w:comment>
  <w:comment w:id="25" w:author="钱路曦" w:date="2021-01-08T15:26:00Z" w:initials="钱路曦">
    <w:p w14:paraId="6B9015F4" w14:textId="5D2DF1E4" w:rsidR="006F569A" w:rsidRDefault="006F569A">
      <w:pPr>
        <w:pStyle w:val="af6"/>
        <w:ind w:firstLine="420"/>
      </w:pPr>
      <w:r>
        <w:rPr>
          <w:rStyle w:val="af5"/>
        </w:rPr>
        <w:annotationRef/>
      </w:r>
      <w:r>
        <w:t>补充其他作者姓名</w:t>
      </w:r>
    </w:p>
  </w:comment>
  <w:comment w:id="26" w:author="钱路曦" w:date="2021-01-08T15:26:00Z" w:initials="钱路曦">
    <w:p w14:paraId="54F39F82" w14:textId="74DA618A" w:rsidR="006F569A" w:rsidRDefault="006F569A">
      <w:pPr>
        <w:pStyle w:val="af6"/>
        <w:ind w:firstLine="420"/>
      </w:pPr>
      <w:r>
        <w:rPr>
          <w:rStyle w:val="af5"/>
        </w:rPr>
        <w:annotationRef/>
      </w:r>
      <w:r>
        <w:t>补充其他作者姓名</w:t>
      </w:r>
    </w:p>
  </w:comment>
  <w:comment w:id="27" w:author="钱路曦" w:date="2021-01-08T15:26:00Z" w:initials="钱路曦">
    <w:p w14:paraId="78DCF00D" w14:textId="3B8BA053" w:rsidR="006F569A" w:rsidRDefault="006F569A">
      <w:pPr>
        <w:pStyle w:val="af6"/>
        <w:ind w:firstLine="420"/>
      </w:pPr>
      <w:r>
        <w:rPr>
          <w:rStyle w:val="af5"/>
        </w:rPr>
        <w:annotationRef/>
      </w:r>
      <w:r>
        <w:t>补充其他作者姓名</w:t>
      </w:r>
    </w:p>
  </w:comment>
  <w:comment w:id="28" w:author="钱路曦" w:date="2021-01-08T15:27:00Z" w:initials="钱路曦">
    <w:p w14:paraId="769274B4" w14:textId="25D56A81" w:rsidR="006F569A" w:rsidRDefault="006F569A">
      <w:pPr>
        <w:pStyle w:val="af6"/>
        <w:ind w:firstLine="420"/>
      </w:pPr>
      <w:r>
        <w:rPr>
          <w:rStyle w:val="af5"/>
        </w:rPr>
        <w:annotationRef/>
      </w:r>
      <w:r>
        <w:t>补充信息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331199B" w15:done="0"/>
  <w15:commentEx w15:paraId="0DB010CD" w15:done="0"/>
  <w15:commentEx w15:paraId="31F7C91D" w15:done="0"/>
  <w15:commentEx w15:paraId="059633F9" w15:done="0"/>
  <w15:commentEx w15:paraId="65FF56E8" w15:done="0"/>
  <w15:commentEx w15:paraId="442B7D75" w15:done="0"/>
  <w15:commentEx w15:paraId="65DD6FBA" w15:done="0"/>
  <w15:commentEx w15:paraId="3FF17ED0" w15:done="0"/>
  <w15:commentEx w15:paraId="6425F7F9" w15:done="0"/>
  <w15:commentEx w15:paraId="7F2E04ED" w15:done="0"/>
  <w15:commentEx w15:paraId="12344010" w15:done="0"/>
  <w15:commentEx w15:paraId="69B2C5AC" w15:done="0"/>
  <w15:commentEx w15:paraId="40E4977F" w15:done="0"/>
  <w15:commentEx w15:paraId="1A9F0C5F" w15:done="0"/>
  <w15:commentEx w15:paraId="268E28D1" w15:done="0"/>
  <w15:commentEx w15:paraId="13327DCB" w15:done="0"/>
  <w15:commentEx w15:paraId="127ABCFE" w15:done="0"/>
  <w15:commentEx w15:paraId="6B9015F4" w15:done="0"/>
  <w15:commentEx w15:paraId="54F39F82" w15:done="0"/>
  <w15:commentEx w15:paraId="78DCF00D" w15:done="0"/>
  <w15:commentEx w15:paraId="769274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D28EB4" w14:textId="77777777" w:rsidR="00780BA9" w:rsidRDefault="00780BA9" w:rsidP="00D3275E">
      <w:pPr>
        <w:ind w:firstLineChars="0" w:firstLine="0"/>
      </w:pPr>
    </w:p>
  </w:endnote>
  <w:endnote w:type="continuationSeparator" w:id="0">
    <w:p w14:paraId="2CA79B5B" w14:textId="77777777" w:rsidR="00780BA9" w:rsidRDefault="00780BA9" w:rsidP="00D3275E">
      <w:pPr>
        <w:ind w:firstLineChars="0" w:firstLin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華康簡宋">
    <w:altName w:val="Arial Unicode MS"/>
    <w:charset w:val="88"/>
    <w:family w:val="modern"/>
    <w:pitch w:val="fixed"/>
    <w:sig w:usb0="00000000" w:usb1="28091800" w:usb2="00000016" w:usb3="00000000" w:csb0="001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E120E" w14:textId="77777777" w:rsidR="00C56C1F" w:rsidRDefault="00C56C1F" w:rsidP="007038E8">
    <w:pPr>
      <w:pStyle w:val="a9"/>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EA5750" w14:textId="77777777" w:rsidR="00C56C1F" w:rsidRPr="00414155" w:rsidRDefault="00C56C1F" w:rsidP="00414155">
    <w:pPr>
      <w:pStyle w:val="a9"/>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0434E3" w14:textId="77777777" w:rsidR="00C56C1F" w:rsidRDefault="00C56C1F" w:rsidP="007038E8">
    <w:pPr>
      <w:pStyle w:val="a9"/>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EAC396" w14:textId="77777777" w:rsidR="00780BA9" w:rsidRDefault="00780BA9" w:rsidP="007038E8">
      <w:pPr>
        <w:ind w:firstLine="420"/>
      </w:pPr>
      <w:r>
        <w:separator/>
      </w:r>
    </w:p>
  </w:footnote>
  <w:footnote w:type="continuationSeparator" w:id="0">
    <w:p w14:paraId="1AF013C3" w14:textId="77777777" w:rsidR="00780BA9" w:rsidRDefault="00780BA9" w:rsidP="007038E8">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47A625" w14:textId="77777777" w:rsidR="00C56C1F" w:rsidRDefault="00C56C1F" w:rsidP="007038E8">
    <w:pPr>
      <w:pStyle w:val="a8"/>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A3C1F" w14:textId="77777777" w:rsidR="00C56C1F" w:rsidRDefault="00C56C1F" w:rsidP="007038E8">
    <w:pPr>
      <w:pStyle w:val="a8"/>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92048" w14:textId="77777777" w:rsidR="00C56C1F" w:rsidRDefault="00C56C1F" w:rsidP="007038E8">
    <w:pPr>
      <w:pStyle w:val="a8"/>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F12EF"/>
    <w:multiLevelType w:val="hybridMultilevel"/>
    <w:tmpl w:val="F65EF4D6"/>
    <w:lvl w:ilvl="0" w:tplc="A94A091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9254EB"/>
    <w:multiLevelType w:val="hybridMultilevel"/>
    <w:tmpl w:val="8B663C6A"/>
    <w:lvl w:ilvl="0" w:tplc="65B43F58">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3C75329"/>
    <w:multiLevelType w:val="hybridMultilevel"/>
    <w:tmpl w:val="AEB28378"/>
    <w:lvl w:ilvl="0" w:tplc="0AEA2E12">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B1C672D"/>
    <w:multiLevelType w:val="hybridMultilevel"/>
    <w:tmpl w:val="F93E610E"/>
    <w:lvl w:ilvl="0" w:tplc="D450B9DC">
      <w:start w:val="1"/>
      <w:numFmt w:val="decimal"/>
      <w:lvlText w:val="%1）"/>
      <w:lvlJc w:val="left"/>
      <w:pPr>
        <w:ind w:left="780" w:hanging="360"/>
      </w:pPr>
      <w:rPr>
        <w:rFonts w:hint="default"/>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4C6E69F5"/>
    <w:multiLevelType w:val="hybridMultilevel"/>
    <w:tmpl w:val="B588C756"/>
    <w:lvl w:ilvl="0" w:tplc="F8CE96F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D6A17C7"/>
    <w:multiLevelType w:val="hybridMultilevel"/>
    <w:tmpl w:val="A88EFEEE"/>
    <w:lvl w:ilvl="0" w:tplc="B29699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2E97F19"/>
    <w:multiLevelType w:val="hybridMultilevel"/>
    <w:tmpl w:val="55D89E30"/>
    <w:lvl w:ilvl="0" w:tplc="AA1EBE76">
      <w:start w:val="1"/>
      <w:numFmt w:val="decimal"/>
      <w:lvlText w:val="（%1）"/>
      <w:lvlJc w:val="left"/>
      <w:pPr>
        <w:ind w:left="1170" w:hanging="81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76172384"/>
    <w:multiLevelType w:val="hybridMultilevel"/>
    <w:tmpl w:val="FA483944"/>
    <w:lvl w:ilvl="0" w:tplc="243C94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5"/>
  </w:num>
  <w:num w:numId="4">
    <w:abstractNumId w:val="1"/>
  </w:num>
  <w:num w:numId="5">
    <w:abstractNumId w:val="3"/>
  </w:num>
  <w:num w:numId="6">
    <w:abstractNumId w:val="7"/>
  </w:num>
  <w:num w:numId="7">
    <w:abstractNumId w:val="2"/>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钱路曦">
    <w15:presenceInfo w15:providerId="AD" w15:userId="S-1-5-21-723110254-357602309-2877813439-13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201"/>
  <w:drawingGridVerticalSpacing w:val="301"/>
  <w:displayHorizontalDrawingGridEvery w:val="0"/>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F71"/>
    <w:rsid w:val="0000229D"/>
    <w:rsid w:val="0000418F"/>
    <w:rsid w:val="000100A5"/>
    <w:rsid w:val="00011563"/>
    <w:rsid w:val="00012623"/>
    <w:rsid w:val="00015EAF"/>
    <w:rsid w:val="0001761C"/>
    <w:rsid w:val="0001779A"/>
    <w:rsid w:val="00021D7C"/>
    <w:rsid w:val="00022319"/>
    <w:rsid w:val="00026086"/>
    <w:rsid w:val="000279B5"/>
    <w:rsid w:val="00027F81"/>
    <w:rsid w:val="00031414"/>
    <w:rsid w:val="00032252"/>
    <w:rsid w:val="000333C9"/>
    <w:rsid w:val="00035197"/>
    <w:rsid w:val="000369D5"/>
    <w:rsid w:val="00041A27"/>
    <w:rsid w:val="00044269"/>
    <w:rsid w:val="000460BC"/>
    <w:rsid w:val="00046588"/>
    <w:rsid w:val="0004697D"/>
    <w:rsid w:val="0005167F"/>
    <w:rsid w:val="00051D7E"/>
    <w:rsid w:val="00052B59"/>
    <w:rsid w:val="0005460D"/>
    <w:rsid w:val="00056373"/>
    <w:rsid w:val="00056522"/>
    <w:rsid w:val="00057321"/>
    <w:rsid w:val="00060F3D"/>
    <w:rsid w:val="000611AD"/>
    <w:rsid w:val="00061FC1"/>
    <w:rsid w:val="00063D93"/>
    <w:rsid w:val="0006445C"/>
    <w:rsid w:val="000648F2"/>
    <w:rsid w:val="00064FC5"/>
    <w:rsid w:val="0006525E"/>
    <w:rsid w:val="00067982"/>
    <w:rsid w:val="000722BA"/>
    <w:rsid w:val="00077352"/>
    <w:rsid w:val="000811F6"/>
    <w:rsid w:val="00090346"/>
    <w:rsid w:val="000918BB"/>
    <w:rsid w:val="00092ECB"/>
    <w:rsid w:val="000944DB"/>
    <w:rsid w:val="00094D98"/>
    <w:rsid w:val="0009549D"/>
    <w:rsid w:val="00095FA2"/>
    <w:rsid w:val="00097BA3"/>
    <w:rsid w:val="00097C14"/>
    <w:rsid w:val="000A1326"/>
    <w:rsid w:val="000A2DDC"/>
    <w:rsid w:val="000A33C1"/>
    <w:rsid w:val="000A37FF"/>
    <w:rsid w:val="000A642D"/>
    <w:rsid w:val="000A65BA"/>
    <w:rsid w:val="000A7CD1"/>
    <w:rsid w:val="000B1A4B"/>
    <w:rsid w:val="000B2AF6"/>
    <w:rsid w:val="000B2C54"/>
    <w:rsid w:val="000B724D"/>
    <w:rsid w:val="000C0891"/>
    <w:rsid w:val="000C11FC"/>
    <w:rsid w:val="000C26C8"/>
    <w:rsid w:val="000C4282"/>
    <w:rsid w:val="000C436A"/>
    <w:rsid w:val="000C5B72"/>
    <w:rsid w:val="000C6A5E"/>
    <w:rsid w:val="000C7C1D"/>
    <w:rsid w:val="000D0F7F"/>
    <w:rsid w:val="000D1370"/>
    <w:rsid w:val="000D2171"/>
    <w:rsid w:val="000D2A4B"/>
    <w:rsid w:val="000D3A4C"/>
    <w:rsid w:val="000D3FBF"/>
    <w:rsid w:val="000E1D06"/>
    <w:rsid w:val="000E257B"/>
    <w:rsid w:val="000E3B6E"/>
    <w:rsid w:val="000E419E"/>
    <w:rsid w:val="000E45E2"/>
    <w:rsid w:val="000E6824"/>
    <w:rsid w:val="000E700F"/>
    <w:rsid w:val="000F2857"/>
    <w:rsid w:val="000F314B"/>
    <w:rsid w:val="000F3984"/>
    <w:rsid w:val="000F6446"/>
    <w:rsid w:val="000F7E8E"/>
    <w:rsid w:val="00100492"/>
    <w:rsid w:val="00100ABD"/>
    <w:rsid w:val="00104D13"/>
    <w:rsid w:val="001056D6"/>
    <w:rsid w:val="0010592F"/>
    <w:rsid w:val="00105B72"/>
    <w:rsid w:val="00110D04"/>
    <w:rsid w:val="00111A5A"/>
    <w:rsid w:val="001123A0"/>
    <w:rsid w:val="001128A5"/>
    <w:rsid w:val="00112AB5"/>
    <w:rsid w:val="00113593"/>
    <w:rsid w:val="00114041"/>
    <w:rsid w:val="0011581C"/>
    <w:rsid w:val="001163E3"/>
    <w:rsid w:val="0012176A"/>
    <w:rsid w:val="00121C87"/>
    <w:rsid w:val="00123A1A"/>
    <w:rsid w:val="00124AA7"/>
    <w:rsid w:val="001263E5"/>
    <w:rsid w:val="00126BBC"/>
    <w:rsid w:val="00127323"/>
    <w:rsid w:val="00127743"/>
    <w:rsid w:val="001310D4"/>
    <w:rsid w:val="0013290A"/>
    <w:rsid w:val="00141315"/>
    <w:rsid w:val="00141871"/>
    <w:rsid w:val="001418B8"/>
    <w:rsid w:val="0014254D"/>
    <w:rsid w:val="00143E80"/>
    <w:rsid w:val="0014583F"/>
    <w:rsid w:val="00145D4E"/>
    <w:rsid w:val="001527BA"/>
    <w:rsid w:val="0015314B"/>
    <w:rsid w:val="00155588"/>
    <w:rsid w:val="00156D94"/>
    <w:rsid w:val="001576E3"/>
    <w:rsid w:val="00161CBF"/>
    <w:rsid w:val="00163B8B"/>
    <w:rsid w:val="00167702"/>
    <w:rsid w:val="00167B0C"/>
    <w:rsid w:val="00167C51"/>
    <w:rsid w:val="0017065B"/>
    <w:rsid w:val="00171CB7"/>
    <w:rsid w:val="001812FF"/>
    <w:rsid w:val="001813D7"/>
    <w:rsid w:val="00183377"/>
    <w:rsid w:val="00183D3F"/>
    <w:rsid w:val="00184497"/>
    <w:rsid w:val="00185161"/>
    <w:rsid w:val="00185B83"/>
    <w:rsid w:val="00186057"/>
    <w:rsid w:val="0019535E"/>
    <w:rsid w:val="00196EF8"/>
    <w:rsid w:val="00197295"/>
    <w:rsid w:val="001A3BBA"/>
    <w:rsid w:val="001A471F"/>
    <w:rsid w:val="001A7014"/>
    <w:rsid w:val="001A749B"/>
    <w:rsid w:val="001B0A69"/>
    <w:rsid w:val="001B28EF"/>
    <w:rsid w:val="001B3B27"/>
    <w:rsid w:val="001B4E9A"/>
    <w:rsid w:val="001B569C"/>
    <w:rsid w:val="001B6872"/>
    <w:rsid w:val="001B78C0"/>
    <w:rsid w:val="001C0D63"/>
    <w:rsid w:val="001C6549"/>
    <w:rsid w:val="001D029A"/>
    <w:rsid w:val="001D40FD"/>
    <w:rsid w:val="001D4247"/>
    <w:rsid w:val="001D5CED"/>
    <w:rsid w:val="001E3E2D"/>
    <w:rsid w:val="001E3F57"/>
    <w:rsid w:val="001E6CFC"/>
    <w:rsid w:val="001F01F8"/>
    <w:rsid w:val="001F1137"/>
    <w:rsid w:val="001F1AC1"/>
    <w:rsid w:val="001F611C"/>
    <w:rsid w:val="001F6AB8"/>
    <w:rsid w:val="00200B98"/>
    <w:rsid w:val="002012FC"/>
    <w:rsid w:val="00201578"/>
    <w:rsid w:val="00202670"/>
    <w:rsid w:val="00211A5A"/>
    <w:rsid w:val="00211F81"/>
    <w:rsid w:val="00214298"/>
    <w:rsid w:val="00214833"/>
    <w:rsid w:val="002160F4"/>
    <w:rsid w:val="00216349"/>
    <w:rsid w:val="002163A3"/>
    <w:rsid w:val="0021662A"/>
    <w:rsid w:val="00216E34"/>
    <w:rsid w:val="00216E91"/>
    <w:rsid w:val="00217D38"/>
    <w:rsid w:val="002243B7"/>
    <w:rsid w:val="00230241"/>
    <w:rsid w:val="00231DAE"/>
    <w:rsid w:val="00231FCF"/>
    <w:rsid w:val="00233C35"/>
    <w:rsid w:val="002342E2"/>
    <w:rsid w:val="0024542C"/>
    <w:rsid w:val="002463A8"/>
    <w:rsid w:val="002473A3"/>
    <w:rsid w:val="0024749E"/>
    <w:rsid w:val="00247B9C"/>
    <w:rsid w:val="0025051E"/>
    <w:rsid w:val="00254C9F"/>
    <w:rsid w:val="00257993"/>
    <w:rsid w:val="0026175D"/>
    <w:rsid w:val="00261E75"/>
    <w:rsid w:val="00263432"/>
    <w:rsid w:val="0026537D"/>
    <w:rsid w:val="00266FCF"/>
    <w:rsid w:val="00267A9E"/>
    <w:rsid w:val="0027282D"/>
    <w:rsid w:val="00275549"/>
    <w:rsid w:val="00277F71"/>
    <w:rsid w:val="00280E65"/>
    <w:rsid w:val="00281D83"/>
    <w:rsid w:val="0028370E"/>
    <w:rsid w:val="002A2E6F"/>
    <w:rsid w:val="002A3E61"/>
    <w:rsid w:val="002A5B4A"/>
    <w:rsid w:val="002A7A58"/>
    <w:rsid w:val="002B05B1"/>
    <w:rsid w:val="002B2CA7"/>
    <w:rsid w:val="002B35A4"/>
    <w:rsid w:val="002B49CF"/>
    <w:rsid w:val="002B684C"/>
    <w:rsid w:val="002B700E"/>
    <w:rsid w:val="002B7271"/>
    <w:rsid w:val="002C1174"/>
    <w:rsid w:val="002C1CD1"/>
    <w:rsid w:val="002C2362"/>
    <w:rsid w:val="002C247F"/>
    <w:rsid w:val="002C5276"/>
    <w:rsid w:val="002C5FC0"/>
    <w:rsid w:val="002C735B"/>
    <w:rsid w:val="002D0CAE"/>
    <w:rsid w:val="002D0E13"/>
    <w:rsid w:val="002D12FA"/>
    <w:rsid w:val="002D1D2D"/>
    <w:rsid w:val="002D33FC"/>
    <w:rsid w:val="002D7C42"/>
    <w:rsid w:val="002E07D9"/>
    <w:rsid w:val="002E0C27"/>
    <w:rsid w:val="002E1094"/>
    <w:rsid w:val="002E3D94"/>
    <w:rsid w:val="002F304E"/>
    <w:rsid w:val="002F614F"/>
    <w:rsid w:val="002F6B9C"/>
    <w:rsid w:val="002F7AD9"/>
    <w:rsid w:val="00300A44"/>
    <w:rsid w:val="003014A8"/>
    <w:rsid w:val="0030160E"/>
    <w:rsid w:val="00301869"/>
    <w:rsid w:val="003041EA"/>
    <w:rsid w:val="003051BB"/>
    <w:rsid w:val="0030522B"/>
    <w:rsid w:val="0030777E"/>
    <w:rsid w:val="0031046D"/>
    <w:rsid w:val="00310BD7"/>
    <w:rsid w:val="003116B8"/>
    <w:rsid w:val="003125F0"/>
    <w:rsid w:val="00317436"/>
    <w:rsid w:val="00320563"/>
    <w:rsid w:val="003205E0"/>
    <w:rsid w:val="0032187A"/>
    <w:rsid w:val="00321BAD"/>
    <w:rsid w:val="00325493"/>
    <w:rsid w:val="00325693"/>
    <w:rsid w:val="00325FBD"/>
    <w:rsid w:val="00326979"/>
    <w:rsid w:val="00327F16"/>
    <w:rsid w:val="00332E0A"/>
    <w:rsid w:val="00332F40"/>
    <w:rsid w:val="0033544D"/>
    <w:rsid w:val="00341459"/>
    <w:rsid w:val="00342F0F"/>
    <w:rsid w:val="00343BD1"/>
    <w:rsid w:val="00346017"/>
    <w:rsid w:val="003460FB"/>
    <w:rsid w:val="00346BE4"/>
    <w:rsid w:val="00350475"/>
    <w:rsid w:val="0035325C"/>
    <w:rsid w:val="00353A9C"/>
    <w:rsid w:val="00354500"/>
    <w:rsid w:val="003561E0"/>
    <w:rsid w:val="00356A2E"/>
    <w:rsid w:val="0036022A"/>
    <w:rsid w:val="003607BE"/>
    <w:rsid w:val="003609B7"/>
    <w:rsid w:val="00360A2B"/>
    <w:rsid w:val="00365D98"/>
    <w:rsid w:val="00370DED"/>
    <w:rsid w:val="003711ED"/>
    <w:rsid w:val="00371F8B"/>
    <w:rsid w:val="00372026"/>
    <w:rsid w:val="00372A52"/>
    <w:rsid w:val="00373215"/>
    <w:rsid w:val="003744ED"/>
    <w:rsid w:val="00374DCA"/>
    <w:rsid w:val="00374ECA"/>
    <w:rsid w:val="00375346"/>
    <w:rsid w:val="00380FAD"/>
    <w:rsid w:val="00381176"/>
    <w:rsid w:val="00381971"/>
    <w:rsid w:val="0038258D"/>
    <w:rsid w:val="00383569"/>
    <w:rsid w:val="00383AF0"/>
    <w:rsid w:val="00385004"/>
    <w:rsid w:val="00386C66"/>
    <w:rsid w:val="00392006"/>
    <w:rsid w:val="00392469"/>
    <w:rsid w:val="00392608"/>
    <w:rsid w:val="00394887"/>
    <w:rsid w:val="003A11E5"/>
    <w:rsid w:val="003A1FB6"/>
    <w:rsid w:val="003A5621"/>
    <w:rsid w:val="003A6380"/>
    <w:rsid w:val="003B057C"/>
    <w:rsid w:val="003B27D4"/>
    <w:rsid w:val="003B3F40"/>
    <w:rsid w:val="003B597F"/>
    <w:rsid w:val="003B698D"/>
    <w:rsid w:val="003B7E3D"/>
    <w:rsid w:val="003B7F3F"/>
    <w:rsid w:val="003C0627"/>
    <w:rsid w:val="003C1117"/>
    <w:rsid w:val="003C19D6"/>
    <w:rsid w:val="003C2CBB"/>
    <w:rsid w:val="003C330E"/>
    <w:rsid w:val="003C48AE"/>
    <w:rsid w:val="003C5BEF"/>
    <w:rsid w:val="003C5CAA"/>
    <w:rsid w:val="003C6BDC"/>
    <w:rsid w:val="003C7442"/>
    <w:rsid w:val="003D22EC"/>
    <w:rsid w:val="003D65C2"/>
    <w:rsid w:val="003D7739"/>
    <w:rsid w:val="003D7AA6"/>
    <w:rsid w:val="003E0365"/>
    <w:rsid w:val="003E52C4"/>
    <w:rsid w:val="003E6191"/>
    <w:rsid w:val="003E6FAF"/>
    <w:rsid w:val="003F0D67"/>
    <w:rsid w:val="003F2E33"/>
    <w:rsid w:val="003F39B2"/>
    <w:rsid w:val="003F3E93"/>
    <w:rsid w:val="003F464A"/>
    <w:rsid w:val="003F4F50"/>
    <w:rsid w:val="003F619E"/>
    <w:rsid w:val="003F660E"/>
    <w:rsid w:val="003F6F13"/>
    <w:rsid w:val="00400ABA"/>
    <w:rsid w:val="00403518"/>
    <w:rsid w:val="004041C7"/>
    <w:rsid w:val="00405C21"/>
    <w:rsid w:val="00406B5E"/>
    <w:rsid w:val="00412382"/>
    <w:rsid w:val="00414155"/>
    <w:rsid w:val="004145A5"/>
    <w:rsid w:val="00420C6B"/>
    <w:rsid w:val="00422620"/>
    <w:rsid w:val="0042266C"/>
    <w:rsid w:val="004231CE"/>
    <w:rsid w:val="00426E24"/>
    <w:rsid w:val="00430DAE"/>
    <w:rsid w:val="00430DBC"/>
    <w:rsid w:val="00431755"/>
    <w:rsid w:val="0043213E"/>
    <w:rsid w:val="00433CCC"/>
    <w:rsid w:val="004344AC"/>
    <w:rsid w:val="004344C9"/>
    <w:rsid w:val="00440DA3"/>
    <w:rsid w:val="00443145"/>
    <w:rsid w:val="00443FEC"/>
    <w:rsid w:val="0044777D"/>
    <w:rsid w:val="004515C2"/>
    <w:rsid w:val="00452DF3"/>
    <w:rsid w:val="00453400"/>
    <w:rsid w:val="004537ED"/>
    <w:rsid w:val="00454CF6"/>
    <w:rsid w:val="00456078"/>
    <w:rsid w:val="004566B0"/>
    <w:rsid w:val="00457449"/>
    <w:rsid w:val="00460B5D"/>
    <w:rsid w:val="004616D1"/>
    <w:rsid w:val="004625CC"/>
    <w:rsid w:val="004628D8"/>
    <w:rsid w:val="00462D57"/>
    <w:rsid w:val="00467BE8"/>
    <w:rsid w:val="00473635"/>
    <w:rsid w:val="004751EB"/>
    <w:rsid w:val="00476539"/>
    <w:rsid w:val="0048008C"/>
    <w:rsid w:val="00480CFD"/>
    <w:rsid w:val="00482032"/>
    <w:rsid w:val="004820A4"/>
    <w:rsid w:val="00484332"/>
    <w:rsid w:val="004905C1"/>
    <w:rsid w:val="00490B67"/>
    <w:rsid w:val="00490F5E"/>
    <w:rsid w:val="00493F69"/>
    <w:rsid w:val="0049533A"/>
    <w:rsid w:val="00495C8E"/>
    <w:rsid w:val="004A142A"/>
    <w:rsid w:val="004A2D1A"/>
    <w:rsid w:val="004A4C5B"/>
    <w:rsid w:val="004A746B"/>
    <w:rsid w:val="004A7C01"/>
    <w:rsid w:val="004B3019"/>
    <w:rsid w:val="004B3C98"/>
    <w:rsid w:val="004B5820"/>
    <w:rsid w:val="004B5BEC"/>
    <w:rsid w:val="004B5CE4"/>
    <w:rsid w:val="004B6604"/>
    <w:rsid w:val="004C01AC"/>
    <w:rsid w:val="004C1438"/>
    <w:rsid w:val="004C53D9"/>
    <w:rsid w:val="004C5FC4"/>
    <w:rsid w:val="004C68B2"/>
    <w:rsid w:val="004C6EDC"/>
    <w:rsid w:val="004C7E97"/>
    <w:rsid w:val="004D09C0"/>
    <w:rsid w:val="004D1520"/>
    <w:rsid w:val="004D394F"/>
    <w:rsid w:val="004D3F99"/>
    <w:rsid w:val="004D5225"/>
    <w:rsid w:val="004D64DE"/>
    <w:rsid w:val="004E17E6"/>
    <w:rsid w:val="004E30F4"/>
    <w:rsid w:val="004E47E1"/>
    <w:rsid w:val="004E49D0"/>
    <w:rsid w:val="004E7F17"/>
    <w:rsid w:val="004F12E8"/>
    <w:rsid w:val="004F1BCD"/>
    <w:rsid w:val="004F2413"/>
    <w:rsid w:val="004F27C3"/>
    <w:rsid w:val="004F398A"/>
    <w:rsid w:val="004F4259"/>
    <w:rsid w:val="004F5257"/>
    <w:rsid w:val="004F5C6E"/>
    <w:rsid w:val="004F698B"/>
    <w:rsid w:val="004F6C12"/>
    <w:rsid w:val="004F7692"/>
    <w:rsid w:val="004F7EA4"/>
    <w:rsid w:val="005005E3"/>
    <w:rsid w:val="0050095D"/>
    <w:rsid w:val="005012D6"/>
    <w:rsid w:val="0050383B"/>
    <w:rsid w:val="00504CD4"/>
    <w:rsid w:val="0050616F"/>
    <w:rsid w:val="00516493"/>
    <w:rsid w:val="00517D28"/>
    <w:rsid w:val="005242BC"/>
    <w:rsid w:val="00524932"/>
    <w:rsid w:val="00525F8B"/>
    <w:rsid w:val="00530590"/>
    <w:rsid w:val="00530DDF"/>
    <w:rsid w:val="00531B1C"/>
    <w:rsid w:val="00536D06"/>
    <w:rsid w:val="0054146F"/>
    <w:rsid w:val="00541F9E"/>
    <w:rsid w:val="00542BF7"/>
    <w:rsid w:val="005441FC"/>
    <w:rsid w:val="005501A7"/>
    <w:rsid w:val="00555D86"/>
    <w:rsid w:val="0055684B"/>
    <w:rsid w:val="0055692E"/>
    <w:rsid w:val="005618EE"/>
    <w:rsid w:val="0056298C"/>
    <w:rsid w:val="0056307A"/>
    <w:rsid w:val="0056403F"/>
    <w:rsid w:val="0056623F"/>
    <w:rsid w:val="00567E92"/>
    <w:rsid w:val="00573343"/>
    <w:rsid w:val="005756D6"/>
    <w:rsid w:val="00580D65"/>
    <w:rsid w:val="00582669"/>
    <w:rsid w:val="005828C1"/>
    <w:rsid w:val="00582B72"/>
    <w:rsid w:val="00583264"/>
    <w:rsid w:val="0058376B"/>
    <w:rsid w:val="00583A73"/>
    <w:rsid w:val="005840BB"/>
    <w:rsid w:val="00584849"/>
    <w:rsid w:val="00585A92"/>
    <w:rsid w:val="00587EA3"/>
    <w:rsid w:val="005920F7"/>
    <w:rsid w:val="005943E9"/>
    <w:rsid w:val="00594A59"/>
    <w:rsid w:val="00596F8E"/>
    <w:rsid w:val="00597783"/>
    <w:rsid w:val="005A1498"/>
    <w:rsid w:val="005A1934"/>
    <w:rsid w:val="005A351C"/>
    <w:rsid w:val="005A49A5"/>
    <w:rsid w:val="005A5748"/>
    <w:rsid w:val="005A5F17"/>
    <w:rsid w:val="005B0853"/>
    <w:rsid w:val="005B0EFC"/>
    <w:rsid w:val="005B25D7"/>
    <w:rsid w:val="005B2AC9"/>
    <w:rsid w:val="005B4CE9"/>
    <w:rsid w:val="005B55A6"/>
    <w:rsid w:val="005B586F"/>
    <w:rsid w:val="005B5EBF"/>
    <w:rsid w:val="005C11D3"/>
    <w:rsid w:val="005C19EA"/>
    <w:rsid w:val="005C5B4B"/>
    <w:rsid w:val="005D4DBB"/>
    <w:rsid w:val="005D74BE"/>
    <w:rsid w:val="005E0514"/>
    <w:rsid w:val="005E184C"/>
    <w:rsid w:val="005E7DC1"/>
    <w:rsid w:val="005F133F"/>
    <w:rsid w:val="005F20AF"/>
    <w:rsid w:val="005F52F9"/>
    <w:rsid w:val="005F6600"/>
    <w:rsid w:val="005F6A24"/>
    <w:rsid w:val="005F7418"/>
    <w:rsid w:val="00600CEC"/>
    <w:rsid w:val="00602F21"/>
    <w:rsid w:val="006048E8"/>
    <w:rsid w:val="00605B26"/>
    <w:rsid w:val="00613CCF"/>
    <w:rsid w:val="00615332"/>
    <w:rsid w:val="00615C44"/>
    <w:rsid w:val="00615E7A"/>
    <w:rsid w:val="00616280"/>
    <w:rsid w:val="00616D0D"/>
    <w:rsid w:val="0062254A"/>
    <w:rsid w:val="00623AA9"/>
    <w:rsid w:val="0062418F"/>
    <w:rsid w:val="00630B32"/>
    <w:rsid w:val="00635FEF"/>
    <w:rsid w:val="006413D8"/>
    <w:rsid w:val="006429BC"/>
    <w:rsid w:val="00642CBA"/>
    <w:rsid w:val="0064432E"/>
    <w:rsid w:val="00644E25"/>
    <w:rsid w:val="0064552E"/>
    <w:rsid w:val="00645B50"/>
    <w:rsid w:val="00647C89"/>
    <w:rsid w:val="006507BD"/>
    <w:rsid w:val="006523B2"/>
    <w:rsid w:val="00652A61"/>
    <w:rsid w:val="00652EB3"/>
    <w:rsid w:val="00653005"/>
    <w:rsid w:val="0065449C"/>
    <w:rsid w:val="006574FC"/>
    <w:rsid w:val="0066027C"/>
    <w:rsid w:val="00664B9D"/>
    <w:rsid w:val="006709A1"/>
    <w:rsid w:val="00674EAB"/>
    <w:rsid w:val="0067780E"/>
    <w:rsid w:val="00681DF9"/>
    <w:rsid w:val="00684ED0"/>
    <w:rsid w:val="00685763"/>
    <w:rsid w:val="00686340"/>
    <w:rsid w:val="00686C7C"/>
    <w:rsid w:val="00691482"/>
    <w:rsid w:val="0069247D"/>
    <w:rsid w:val="00692890"/>
    <w:rsid w:val="00693751"/>
    <w:rsid w:val="006970CF"/>
    <w:rsid w:val="006A0451"/>
    <w:rsid w:val="006A27EC"/>
    <w:rsid w:val="006A35A6"/>
    <w:rsid w:val="006A5D89"/>
    <w:rsid w:val="006B1360"/>
    <w:rsid w:val="006B744A"/>
    <w:rsid w:val="006B7C91"/>
    <w:rsid w:val="006B7EEF"/>
    <w:rsid w:val="006C1706"/>
    <w:rsid w:val="006C305E"/>
    <w:rsid w:val="006C425D"/>
    <w:rsid w:val="006C6297"/>
    <w:rsid w:val="006D0596"/>
    <w:rsid w:val="006D0FAA"/>
    <w:rsid w:val="006D1846"/>
    <w:rsid w:val="006D39AB"/>
    <w:rsid w:val="006D466A"/>
    <w:rsid w:val="006D56FF"/>
    <w:rsid w:val="006E761C"/>
    <w:rsid w:val="006F569A"/>
    <w:rsid w:val="006F613C"/>
    <w:rsid w:val="007038E8"/>
    <w:rsid w:val="00703D6B"/>
    <w:rsid w:val="00706270"/>
    <w:rsid w:val="0070737B"/>
    <w:rsid w:val="00707493"/>
    <w:rsid w:val="00707D72"/>
    <w:rsid w:val="007126C5"/>
    <w:rsid w:val="00714F90"/>
    <w:rsid w:val="00720848"/>
    <w:rsid w:val="00720F64"/>
    <w:rsid w:val="00721B24"/>
    <w:rsid w:val="00722880"/>
    <w:rsid w:val="00722C52"/>
    <w:rsid w:val="0072306C"/>
    <w:rsid w:val="007251AE"/>
    <w:rsid w:val="0072536C"/>
    <w:rsid w:val="00726D37"/>
    <w:rsid w:val="00730B38"/>
    <w:rsid w:val="0073181D"/>
    <w:rsid w:val="0074042D"/>
    <w:rsid w:val="00740548"/>
    <w:rsid w:val="00744766"/>
    <w:rsid w:val="0074680A"/>
    <w:rsid w:val="007561B7"/>
    <w:rsid w:val="00761324"/>
    <w:rsid w:val="0076255B"/>
    <w:rsid w:val="007673BB"/>
    <w:rsid w:val="007674E2"/>
    <w:rsid w:val="00767B12"/>
    <w:rsid w:val="00767FA7"/>
    <w:rsid w:val="007716E4"/>
    <w:rsid w:val="007741DB"/>
    <w:rsid w:val="00775F7C"/>
    <w:rsid w:val="00777094"/>
    <w:rsid w:val="0077749F"/>
    <w:rsid w:val="007775E4"/>
    <w:rsid w:val="00780BA9"/>
    <w:rsid w:val="00782F5F"/>
    <w:rsid w:val="007835AF"/>
    <w:rsid w:val="00783770"/>
    <w:rsid w:val="00783955"/>
    <w:rsid w:val="007860B3"/>
    <w:rsid w:val="007877D9"/>
    <w:rsid w:val="00790E7A"/>
    <w:rsid w:val="00791595"/>
    <w:rsid w:val="00791987"/>
    <w:rsid w:val="0079319C"/>
    <w:rsid w:val="00793B47"/>
    <w:rsid w:val="00795CA7"/>
    <w:rsid w:val="007A012C"/>
    <w:rsid w:val="007A2A1C"/>
    <w:rsid w:val="007A353B"/>
    <w:rsid w:val="007A7095"/>
    <w:rsid w:val="007B0765"/>
    <w:rsid w:val="007B6925"/>
    <w:rsid w:val="007C0FDB"/>
    <w:rsid w:val="007C2FB4"/>
    <w:rsid w:val="007C3A76"/>
    <w:rsid w:val="007C657C"/>
    <w:rsid w:val="007D0F11"/>
    <w:rsid w:val="007D25B3"/>
    <w:rsid w:val="007D25F8"/>
    <w:rsid w:val="007E0733"/>
    <w:rsid w:val="007E0FA8"/>
    <w:rsid w:val="007E168E"/>
    <w:rsid w:val="007E18ED"/>
    <w:rsid w:val="007E1EB6"/>
    <w:rsid w:val="007E23C6"/>
    <w:rsid w:val="007E2DEF"/>
    <w:rsid w:val="007E2F6D"/>
    <w:rsid w:val="007E3BE3"/>
    <w:rsid w:val="007E6F5B"/>
    <w:rsid w:val="007E7364"/>
    <w:rsid w:val="007F11C7"/>
    <w:rsid w:val="007F1C78"/>
    <w:rsid w:val="007F2B0D"/>
    <w:rsid w:val="007F65E2"/>
    <w:rsid w:val="00800769"/>
    <w:rsid w:val="00805143"/>
    <w:rsid w:val="008132C6"/>
    <w:rsid w:val="00813F78"/>
    <w:rsid w:val="00814A71"/>
    <w:rsid w:val="00815284"/>
    <w:rsid w:val="00820290"/>
    <w:rsid w:val="0082144F"/>
    <w:rsid w:val="008218CF"/>
    <w:rsid w:val="00822008"/>
    <w:rsid w:val="0082209A"/>
    <w:rsid w:val="008228B2"/>
    <w:rsid w:val="00822D99"/>
    <w:rsid w:val="00823A9A"/>
    <w:rsid w:val="0082613A"/>
    <w:rsid w:val="00827C5B"/>
    <w:rsid w:val="00827D03"/>
    <w:rsid w:val="00830F9E"/>
    <w:rsid w:val="008312B2"/>
    <w:rsid w:val="0083180B"/>
    <w:rsid w:val="00833400"/>
    <w:rsid w:val="00833BAD"/>
    <w:rsid w:val="008415C7"/>
    <w:rsid w:val="00842A69"/>
    <w:rsid w:val="00843ABB"/>
    <w:rsid w:val="00847629"/>
    <w:rsid w:val="00847BC1"/>
    <w:rsid w:val="008513B3"/>
    <w:rsid w:val="0085499C"/>
    <w:rsid w:val="008563F0"/>
    <w:rsid w:val="008616F2"/>
    <w:rsid w:val="008625F4"/>
    <w:rsid w:val="00865B27"/>
    <w:rsid w:val="00867C41"/>
    <w:rsid w:val="008736D2"/>
    <w:rsid w:val="008743C5"/>
    <w:rsid w:val="00874591"/>
    <w:rsid w:val="00875216"/>
    <w:rsid w:val="008760ED"/>
    <w:rsid w:val="008774F0"/>
    <w:rsid w:val="00877821"/>
    <w:rsid w:val="0088339A"/>
    <w:rsid w:val="0088408F"/>
    <w:rsid w:val="00884868"/>
    <w:rsid w:val="00887F93"/>
    <w:rsid w:val="008918FC"/>
    <w:rsid w:val="0089247C"/>
    <w:rsid w:val="008A03BC"/>
    <w:rsid w:val="008A0CC7"/>
    <w:rsid w:val="008A1030"/>
    <w:rsid w:val="008A1122"/>
    <w:rsid w:val="008A463D"/>
    <w:rsid w:val="008A4B39"/>
    <w:rsid w:val="008A5667"/>
    <w:rsid w:val="008B0B70"/>
    <w:rsid w:val="008B2A91"/>
    <w:rsid w:val="008B2E2B"/>
    <w:rsid w:val="008B4D45"/>
    <w:rsid w:val="008C070C"/>
    <w:rsid w:val="008C070E"/>
    <w:rsid w:val="008C187F"/>
    <w:rsid w:val="008C285B"/>
    <w:rsid w:val="008C3918"/>
    <w:rsid w:val="008C5CBA"/>
    <w:rsid w:val="008C6301"/>
    <w:rsid w:val="008C7AB8"/>
    <w:rsid w:val="008D0519"/>
    <w:rsid w:val="008D0CA7"/>
    <w:rsid w:val="008D0E17"/>
    <w:rsid w:val="008D253E"/>
    <w:rsid w:val="008D6D19"/>
    <w:rsid w:val="008D7249"/>
    <w:rsid w:val="008E0297"/>
    <w:rsid w:val="008E183D"/>
    <w:rsid w:val="008E778D"/>
    <w:rsid w:val="008F0C7A"/>
    <w:rsid w:val="00901E9A"/>
    <w:rsid w:val="009045A7"/>
    <w:rsid w:val="00906C20"/>
    <w:rsid w:val="009079D1"/>
    <w:rsid w:val="00911301"/>
    <w:rsid w:val="00911ABB"/>
    <w:rsid w:val="00914559"/>
    <w:rsid w:val="009146A3"/>
    <w:rsid w:val="00914B30"/>
    <w:rsid w:val="00916D0F"/>
    <w:rsid w:val="00916FC8"/>
    <w:rsid w:val="0091742C"/>
    <w:rsid w:val="00917628"/>
    <w:rsid w:val="00920401"/>
    <w:rsid w:val="0092128F"/>
    <w:rsid w:val="00921A1B"/>
    <w:rsid w:val="009220E1"/>
    <w:rsid w:val="009228F5"/>
    <w:rsid w:val="0092494D"/>
    <w:rsid w:val="0092755C"/>
    <w:rsid w:val="009308CB"/>
    <w:rsid w:val="00931DFE"/>
    <w:rsid w:val="009328CC"/>
    <w:rsid w:val="009329F1"/>
    <w:rsid w:val="00933243"/>
    <w:rsid w:val="00933DC2"/>
    <w:rsid w:val="00933FF8"/>
    <w:rsid w:val="00936221"/>
    <w:rsid w:val="009366FC"/>
    <w:rsid w:val="009368AC"/>
    <w:rsid w:val="0094127C"/>
    <w:rsid w:val="009417DF"/>
    <w:rsid w:val="00941995"/>
    <w:rsid w:val="00942A6D"/>
    <w:rsid w:val="00944F7C"/>
    <w:rsid w:val="0094626B"/>
    <w:rsid w:val="00951A1E"/>
    <w:rsid w:val="00952193"/>
    <w:rsid w:val="0095274D"/>
    <w:rsid w:val="00952B73"/>
    <w:rsid w:val="00953952"/>
    <w:rsid w:val="009549A9"/>
    <w:rsid w:val="00956460"/>
    <w:rsid w:val="00956976"/>
    <w:rsid w:val="009572EE"/>
    <w:rsid w:val="009601A8"/>
    <w:rsid w:val="009629EC"/>
    <w:rsid w:val="00962DEE"/>
    <w:rsid w:val="00965E98"/>
    <w:rsid w:val="0096617F"/>
    <w:rsid w:val="009666FD"/>
    <w:rsid w:val="00970A87"/>
    <w:rsid w:val="00974BA3"/>
    <w:rsid w:val="0097741A"/>
    <w:rsid w:val="00982A09"/>
    <w:rsid w:val="00983407"/>
    <w:rsid w:val="00985084"/>
    <w:rsid w:val="00990532"/>
    <w:rsid w:val="009907D4"/>
    <w:rsid w:val="009921E2"/>
    <w:rsid w:val="0099355C"/>
    <w:rsid w:val="00993A33"/>
    <w:rsid w:val="00994BB8"/>
    <w:rsid w:val="00995688"/>
    <w:rsid w:val="00997552"/>
    <w:rsid w:val="009975DE"/>
    <w:rsid w:val="009A2172"/>
    <w:rsid w:val="009A53B8"/>
    <w:rsid w:val="009A685F"/>
    <w:rsid w:val="009A769A"/>
    <w:rsid w:val="009B1393"/>
    <w:rsid w:val="009B298B"/>
    <w:rsid w:val="009B2A69"/>
    <w:rsid w:val="009B6011"/>
    <w:rsid w:val="009B64F0"/>
    <w:rsid w:val="009B696A"/>
    <w:rsid w:val="009B6C4F"/>
    <w:rsid w:val="009C2094"/>
    <w:rsid w:val="009C23E3"/>
    <w:rsid w:val="009C29C3"/>
    <w:rsid w:val="009C2D0B"/>
    <w:rsid w:val="009D0E88"/>
    <w:rsid w:val="009D3456"/>
    <w:rsid w:val="009D5270"/>
    <w:rsid w:val="009D6B57"/>
    <w:rsid w:val="009E1565"/>
    <w:rsid w:val="009E5283"/>
    <w:rsid w:val="009F326B"/>
    <w:rsid w:val="009F7E66"/>
    <w:rsid w:val="00A01036"/>
    <w:rsid w:val="00A01F8D"/>
    <w:rsid w:val="00A041F3"/>
    <w:rsid w:val="00A06201"/>
    <w:rsid w:val="00A06296"/>
    <w:rsid w:val="00A13C24"/>
    <w:rsid w:val="00A144F6"/>
    <w:rsid w:val="00A163DE"/>
    <w:rsid w:val="00A1656B"/>
    <w:rsid w:val="00A20533"/>
    <w:rsid w:val="00A21AF6"/>
    <w:rsid w:val="00A225C0"/>
    <w:rsid w:val="00A24F54"/>
    <w:rsid w:val="00A26898"/>
    <w:rsid w:val="00A3149A"/>
    <w:rsid w:val="00A32C2F"/>
    <w:rsid w:val="00A32EEC"/>
    <w:rsid w:val="00A33C86"/>
    <w:rsid w:val="00A33E54"/>
    <w:rsid w:val="00A348B0"/>
    <w:rsid w:val="00A3526A"/>
    <w:rsid w:val="00A378F9"/>
    <w:rsid w:val="00A37C75"/>
    <w:rsid w:val="00A40F4B"/>
    <w:rsid w:val="00A42FF0"/>
    <w:rsid w:val="00A43542"/>
    <w:rsid w:val="00A4597D"/>
    <w:rsid w:val="00A5258E"/>
    <w:rsid w:val="00A52D05"/>
    <w:rsid w:val="00A56994"/>
    <w:rsid w:val="00A579D8"/>
    <w:rsid w:val="00A604E4"/>
    <w:rsid w:val="00A606D7"/>
    <w:rsid w:val="00A60C72"/>
    <w:rsid w:val="00A64ED2"/>
    <w:rsid w:val="00A67ACC"/>
    <w:rsid w:val="00A709BE"/>
    <w:rsid w:val="00A71440"/>
    <w:rsid w:val="00A71FD1"/>
    <w:rsid w:val="00A74461"/>
    <w:rsid w:val="00A75559"/>
    <w:rsid w:val="00A76EAC"/>
    <w:rsid w:val="00A77B26"/>
    <w:rsid w:val="00A8110B"/>
    <w:rsid w:val="00A819C9"/>
    <w:rsid w:val="00A81B3F"/>
    <w:rsid w:val="00A8216B"/>
    <w:rsid w:val="00A84DF4"/>
    <w:rsid w:val="00A864A8"/>
    <w:rsid w:val="00A87067"/>
    <w:rsid w:val="00A90869"/>
    <w:rsid w:val="00A90987"/>
    <w:rsid w:val="00A9102A"/>
    <w:rsid w:val="00A94907"/>
    <w:rsid w:val="00A94E05"/>
    <w:rsid w:val="00A96003"/>
    <w:rsid w:val="00A9766C"/>
    <w:rsid w:val="00A97AF7"/>
    <w:rsid w:val="00AA197A"/>
    <w:rsid w:val="00AA1B81"/>
    <w:rsid w:val="00AA3FA4"/>
    <w:rsid w:val="00AA6965"/>
    <w:rsid w:val="00AA6A61"/>
    <w:rsid w:val="00AA6D3A"/>
    <w:rsid w:val="00AA7941"/>
    <w:rsid w:val="00AA7E81"/>
    <w:rsid w:val="00AB15A9"/>
    <w:rsid w:val="00AB1B15"/>
    <w:rsid w:val="00AB38DF"/>
    <w:rsid w:val="00AB69F1"/>
    <w:rsid w:val="00AC1DB6"/>
    <w:rsid w:val="00AC1DE6"/>
    <w:rsid w:val="00AC21BE"/>
    <w:rsid w:val="00AC65D9"/>
    <w:rsid w:val="00AC7020"/>
    <w:rsid w:val="00AC7627"/>
    <w:rsid w:val="00AC77C7"/>
    <w:rsid w:val="00AC7F39"/>
    <w:rsid w:val="00AD0C27"/>
    <w:rsid w:val="00AD11F5"/>
    <w:rsid w:val="00AD2222"/>
    <w:rsid w:val="00AD2CB3"/>
    <w:rsid w:val="00AD3CE4"/>
    <w:rsid w:val="00AD3DCD"/>
    <w:rsid w:val="00AE390A"/>
    <w:rsid w:val="00AE40D5"/>
    <w:rsid w:val="00AE4AB9"/>
    <w:rsid w:val="00AE4F15"/>
    <w:rsid w:val="00AE647B"/>
    <w:rsid w:val="00AE6B99"/>
    <w:rsid w:val="00AF163B"/>
    <w:rsid w:val="00AF16E8"/>
    <w:rsid w:val="00AF1B77"/>
    <w:rsid w:val="00AF2F55"/>
    <w:rsid w:val="00AF3571"/>
    <w:rsid w:val="00AF6C6E"/>
    <w:rsid w:val="00AF6E1A"/>
    <w:rsid w:val="00B0016F"/>
    <w:rsid w:val="00B00413"/>
    <w:rsid w:val="00B0082E"/>
    <w:rsid w:val="00B014A3"/>
    <w:rsid w:val="00B01F34"/>
    <w:rsid w:val="00B02AB0"/>
    <w:rsid w:val="00B07265"/>
    <w:rsid w:val="00B115BB"/>
    <w:rsid w:val="00B119CA"/>
    <w:rsid w:val="00B129B6"/>
    <w:rsid w:val="00B163AE"/>
    <w:rsid w:val="00B1682D"/>
    <w:rsid w:val="00B1791B"/>
    <w:rsid w:val="00B17A17"/>
    <w:rsid w:val="00B17EC2"/>
    <w:rsid w:val="00B21002"/>
    <w:rsid w:val="00B21322"/>
    <w:rsid w:val="00B21AA1"/>
    <w:rsid w:val="00B21FD1"/>
    <w:rsid w:val="00B2315B"/>
    <w:rsid w:val="00B25491"/>
    <w:rsid w:val="00B25A17"/>
    <w:rsid w:val="00B27299"/>
    <w:rsid w:val="00B2767D"/>
    <w:rsid w:val="00B27842"/>
    <w:rsid w:val="00B30481"/>
    <w:rsid w:val="00B3284E"/>
    <w:rsid w:val="00B333B7"/>
    <w:rsid w:val="00B33E9E"/>
    <w:rsid w:val="00B3405A"/>
    <w:rsid w:val="00B4301E"/>
    <w:rsid w:val="00B4310C"/>
    <w:rsid w:val="00B4345A"/>
    <w:rsid w:val="00B45393"/>
    <w:rsid w:val="00B45CA5"/>
    <w:rsid w:val="00B5013F"/>
    <w:rsid w:val="00B5129C"/>
    <w:rsid w:val="00B53B1A"/>
    <w:rsid w:val="00B53C7D"/>
    <w:rsid w:val="00B53FC2"/>
    <w:rsid w:val="00B54D50"/>
    <w:rsid w:val="00B57DA7"/>
    <w:rsid w:val="00B606FB"/>
    <w:rsid w:val="00B6726E"/>
    <w:rsid w:val="00B6735C"/>
    <w:rsid w:val="00B67E61"/>
    <w:rsid w:val="00B72DA2"/>
    <w:rsid w:val="00B72DD3"/>
    <w:rsid w:val="00B73C67"/>
    <w:rsid w:val="00B80358"/>
    <w:rsid w:val="00B81C64"/>
    <w:rsid w:val="00B82BE3"/>
    <w:rsid w:val="00B83956"/>
    <w:rsid w:val="00B845CA"/>
    <w:rsid w:val="00B84D0D"/>
    <w:rsid w:val="00B8629C"/>
    <w:rsid w:val="00B8654B"/>
    <w:rsid w:val="00B8722F"/>
    <w:rsid w:val="00B91105"/>
    <w:rsid w:val="00B922EE"/>
    <w:rsid w:val="00B947A6"/>
    <w:rsid w:val="00B96839"/>
    <w:rsid w:val="00B96D85"/>
    <w:rsid w:val="00B96FBD"/>
    <w:rsid w:val="00B97BB6"/>
    <w:rsid w:val="00BA042A"/>
    <w:rsid w:val="00BA0557"/>
    <w:rsid w:val="00BA160B"/>
    <w:rsid w:val="00BA1938"/>
    <w:rsid w:val="00BA4065"/>
    <w:rsid w:val="00BA420D"/>
    <w:rsid w:val="00BA60F2"/>
    <w:rsid w:val="00BA6600"/>
    <w:rsid w:val="00BA6A79"/>
    <w:rsid w:val="00BB0803"/>
    <w:rsid w:val="00BB15E7"/>
    <w:rsid w:val="00BB1C9E"/>
    <w:rsid w:val="00BB2261"/>
    <w:rsid w:val="00BB5DB3"/>
    <w:rsid w:val="00BC020E"/>
    <w:rsid w:val="00BC418C"/>
    <w:rsid w:val="00BC7DB1"/>
    <w:rsid w:val="00BD07CC"/>
    <w:rsid w:val="00BD0BE7"/>
    <w:rsid w:val="00BD0FD2"/>
    <w:rsid w:val="00BD16D1"/>
    <w:rsid w:val="00BD1F48"/>
    <w:rsid w:val="00BD3020"/>
    <w:rsid w:val="00BD4A4B"/>
    <w:rsid w:val="00BD509A"/>
    <w:rsid w:val="00BD6ABE"/>
    <w:rsid w:val="00BD6F70"/>
    <w:rsid w:val="00BE2FA7"/>
    <w:rsid w:val="00BE537F"/>
    <w:rsid w:val="00BE54BE"/>
    <w:rsid w:val="00BE6C70"/>
    <w:rsid w:val="00BE71A6"/>
    <w:rsid w:val="00BF139F"/>
    <w:rsid w:val="00BF1BEB"/>
    <w:rsid w:val="00BF2FF7"/>
    <w:rsid w:val="00BF3458"/>
    <w:rsid w:val="00BF3878"/>
    <w:rsid w:val="00BF474F"/>
    <w:rsid w:val="00BF5195"/>
    <w:rsid w:val="00C00495"/>
    <w:rsid w:val="00C0184E"/>
    <w:rsid w:val="00C029A0"/>
    <w:rsid w:val="00C03EDF"/>
    <w:rsid w:val="00C04168"/>
    <w:rsid w:val="00C043E0"/>
    <w:rsid w:val="00C04790"/>
    <w:rsid w:val="00C0511F"/>
    <w:rsid w:val="00C055D3"/>
    <w:rsid w:val="00C1429C"/>
    <w:rsid w:val="00C15BD5"/>
    <w:rsid w:val="00C15D35"/>
    <w:rsid w:val="00C16BD4"/>
    <w:rsid w:val="00C20E17"/>
    <w:rsid w:val="00C215DA"/>
    <w:rsid w:val="00C275B5"/>
    <w:rsid w:val="00C27B66"/>
    <w:rsid w:val="00C30399"/>
    <w:rsid w:val="00C30C90"/>
    <w:rsid w:val="00C3217A"/>
    <w:rsid w:val="00C33682"/>
    <w:rsid w:val="00C33840"/>
    <w:rsid w:val="00C35D85"/>
    <w:rsid w:val="00C37AF4"/>
    <w:rsid w:val="00C426FE"/>
    <w:rsid w:val="00C44A3F"/>
    <w:rsid w:val="00C45DAC"/>
    <w:rsid w:val="00C467BE"/>
    <w:rsid w:val="00C476B0"/>
    <w:rsid w:val="00C50309"/>
    <w:rsid w:val="00C50781"/>
    <w:rsid w:val="00C51590"/>
    <w:rsid w:val="00C5653B"/>
    <w:rsid w:val="00C568AC"/>
    <w:rsid w:val="00C56C1F"/>
    <w:rsid w:val="00C60451"/>
    <w:rsid w:val="00C60CCF"/>
    <w:rsid w:val="00C618F2"/>
    <w:rsid w:val="00C65415"/>
    <w:rsid w:val="00C73575"/>
    <w:rsid w:val="00C73CD8"/>
    <w:rsid w:val="00C73EC2"/>
    <w:rsid w:val="00C751FC"/>
    <w:rsid w:val="00C777A8"/>
    <w:rsid w:val="00C81DD4"/>
    <w:rsid w:val="00C8255D"/>
    <w:rsid w:val="00C872BB"/>
    <w:rsid w:val="00C87DF7"/>
    <w:rsid w:val="00C91320"/>
    <w:rsid w:val="00C92419"/>
    <w:rsid w:val="00C95600"/>
    <w:rsid w:val="00C96006"/>
    <w:rsid w:val="00C97987"/>
    <w:rsid w:val="00CA158C"/>
    <w:rsid w:val="00CA2434"/>
    <w:rsid w:val="00CA43F5"/>
    <w:rsid w:val="00CA481B"/>
    <w:rsid w:val="00CA710B"/>
    <w:rsid w:val="00CA7AE0"/>
    <w:rsid w:val="00CB0F92"/>
    <w:rsid w:val="00CB1803"/>
    <w:rsid w:val="00CB2D2A"/>
    <w:rsid w:val="00CB58A4"/>
    <w:rsid w:val="00CB65BD"/>
    <w:rsid w:val="00CB6BA3"/>
    <w:rsid w:val="00CB7CD8"/>
    <w:rsid w:val="00CC04E3"/>
    <w:rsid w:val="00CC2F67"/>
    <w:rsid w:val="00CC59AE"/>
    <w:rsid w:val="00CC60D2"/>
    <w:rsid w:val="00CC7A9A"/>
    <w:rsid w:val="00CD1CE4"/>
    <w:rsid w:val="00CD57E8"/>
    <w:rsid w:val="00CD64C7"/>
    <w:rsid w:val="00CD6CB5"/>
    <w:rsid w:val="00CE052D"/>
    <w:rsid w:val="00CE0EBD"/>
    <w:rsid w:val="00CE1796"/>
    <w:rsid w:val="00CE3EE7"/>
    <w:rsid w:val="00CE41F7"/>
    <w:rsid w:val="00CE453B"/>
    <w:rsid w:val="00CE6390"/>
    <w:rsid w:val="00CE63CD"/>
    <w:rsid w:val="00CE7B50"/>
    <w:rsid w:val="00CF197F"/>
    <w:rsid w:val="00CF23AB"/>
    <w:rsid w:val="00CF34AC"/>
    <w:rsid w:val="00CF7319"/>
    <w:rsid w:val="00D01582"/>
    <w:rsid w:val="00D03C0D"/>
    <w:rsid w:val="00D03CC0"/>
    <w:rsid w:val="00D05A40"/>
    <w:rsid w:val="00D06B74"/>
    <w:rsid w:val="00D07430"/>
    <w:rsid w:val="00D07A0C"/>
    <w:rsid w:val="00D10573"/>
    <w:rsid w:val="00D10DCA"/>
    <w:rsid w:val="00D12713"/>
    <w:rsid w:val="00D14DA1"/>
    <w:rsid w:val="00D154B6"/>
    <w:rsid w:val="00D16F5F"/>
    <w:rsid w:val="00D24DAC"/>
    <w:rsid w:val="00D2621B"/>
    <w:rsid w:val="00D27191"/>
    <w:rsid w:val="00D276BE"/>
    <w:rsid w:val="00D3005D"/>
    <w:rsid w:val="00D316FA"/>
    <w:rsid w:val="00D31D89"/>
    <w:rsid w:val="00D3275E"/>
    <w:rsid w:val="00D343AA"/>
    <w:rsid w:val="00D35A40"/>
    <w:rsid w:val="00D35D46"/>
    <w:rsid w:val="00D403E4"/>
    <w:rsid w:val="00D41532"/>
    <w:rsid w:val="00D41C6A"/>
    <w:rsid w:val="00D42BA8"/>
    <w:rsid w:val="00D451BE"/>
    <w:rsid w:val="00D47DEF"/>
    <w:rsid w:val="00D50DA4"/>
    <w:rsid w:val="00D52821"/>
    <w:rsid w:val="00D53123"/>
    <w:rsid w:val="00D55E18"/>
    <w:rsid w:val="00D5620E"/>
    <w:rsid w:val="00D65D47"/>
    <w:rsid w:val="00D6757F"/>
    <w:rsid w:val="00D67F42"/>
    <w:rsid w:val="00D71C34"/>
    <w:rsid w:val="00D71E41"/>
    <w:rsid w:val="00D71F05"/>
    <w:rsid w:val="00D749CB"/>
    <w:rsid w:val="00D77C20"/>
    <w:rsid w:val="00D80606"/>
    <w:rsid w:val="00D81D90"/>
    <w:rsid w:val="00D856E9"/>
    <w:rsid w:val="00D86CD9"/>
    <w:rsid w:val="00D90923"/>
    <w:rsid w:val="00D9139C"/>
    <w:rsid w:val="00D942AC"/>
    <w:rsid w:val="00D97D29"/>
    <w:rsid w:val="00DA1491"/>
    <w:rsid w:val="00DA19D4"/>
    <w:rsid w:val="00DA45A4"/>
    <w:rsid w:val="00DA5B79"/>
    <w:rsid w:val="00DA6D9B"/>
    <w:rsid w:val="00DB26BD"/>
    <w:rsid w:val="00DB3691"/>
    <w:rsid w:val="00DB3A49"/>
    <w:rsid w:val="00DB50F6"/>
    <w:rsid w:val="00DB529F"/>
    <w:rsid w:val="00DB7D32"/>
    <w:rsid w:val="00DC0D55"/>
    <w:rsid w:val="00DC1A56"/>
    <w:rsid w:val="00DC1E38"/>
    <w:rsid w:val="00DC2991"/>
    <w:rsid w:val="00DC2ABD"/>
    <w:rsid w:val="00DC3EB0"/>
    <w:rsid w:val="00DC615F"/>
    <w:rsid w:val="00DC6449"/>
    <w:rsid w:val="00DC7367"/>
    <w:rsid w:val="00DD11D1"/>
    <w:rsid w:val="00DD2230"/>
    <w:rsid w:val="00DD239D"/>
    <w:rsid w:val="00DD2639"/>
    <w:rsid w:val="00DD4403"/>
    <w:rsid w:val="00DD6C8C"/>
    <w:rsid w:val="00DE24CF"/>
    <w:rsid w:val="00DE3EFD"/>
    <w:rsid w:val="00DE4AA2"/>
    <w:rsid w:val="00DE6E0D"/>
    <w:rsid w:val="00DE6F69"/>
    <w:rsid w:val="00DF027A"/>
    <w:rsid w:val="00DF2D74"/>
    <w:rsid w:val="00DF40C0"/>
    <w:rsid w:val="00DF6A00"/>
    <w:rsid w:val="00DF7E81"/>
    <w:rsid w:val="00E00306"/>
    <w:rsid w:val="00E00E06"/>
    <w:rsid w:val="00E0233C"/>
    <w:rsid w:val="00E02EA5"/>
    <w:rsid w:val="00E04624"/>
    <w:rsid w:val="00E04E18"/>
    <w:rsid w:val="00E06688"/>
    <w:rsid w:val="00E10BB5"/>
    <w:rsid w:val="00E11B99"/>
    <w:rsid w:val="00E1239E"/>
    <w:rsid w:val="00E157DF"/>
    <w:rsid w:val="00E164F1"/>
    <w:rsid w:val="00E1682F"/>
    <w:rsid w:val="00E2124C"/>
    <w:rsid w:val="00E22BFB"/>
    <w:rsid w:val="00E22F8A"/>
    <w:rsid w:val="00E2300C"/>
    <w:rsid w:val="00E23D1A"/>
    <w:rsid w:val="00E24E27"/>
    <w:rsid w:val="00E266E8"/>
    <w:rsid w:val="00E272CF"/>
    <w:rsid w:val="00E30BFB"/>
    <w:rsid w:val="00E31D7C"/>
    <w:rsid w:val="00E326AE"/>
    <w:rsid w:val="00E34533"/>
    <w:rsid w:val="00E41FF5"/>
    <w:rsid w:val="00E422CA"/>
    <w:rsid w:val="00E42841"/>
    <w:rsid w:val="00E4299E"/>
    <w:rsid w:val="00E42AE7"/>
    <w:rsid w:val="00E44345"/>
    <w:rsid w:val="00E468C2"/>
    <w:rsid w:val="00E46AEC"/>
    <w:rsid w:val="00E47CD7"/>
    <w:rsid w:val="00E512CE"/>
    <w:rsid w:val="00E53308"/>
    <w:rsid w:val="00E53D1C"/>
    <w:rsid w:val="00E5643E"/>
    <w:rsid w:val="00E61BE5"/>
    <w:rsid w:val="00E63612"/>
    <w:rsid w:val="00E646B3"/>
    <w:rsid w:val="00E64BD5"/>
    <w:rsid w:val="00E6676F"/>
    <w:rsid w:val="00E66A73"/>
    <w:rsid w:val="00E672C8"/>
    <w:rsid w:val="00E700A3"/>
    <w:rsid w:val="00E71EB4"/>
    <w:rsid w:val="00E73303"/>
    <w:rsid w:val="00E75026"/>
    <w:rsid w:val="00E7556E"/>
    <w:rsid w:val="00E75F2C"/>
    <w:rsid w:val="00E76E49"/>
    <w:rsid w:val="00E77DE5"/>
    <w:rsid w:val="00E80C70"/>
    <w:rsid w:val="00E81362"/>
    <w:rsid w:val="00E81F1D"/>
    <w:rsid w:val="00E83EFB"/>
    <w:rsid w:val="00E86126"/>
    <w:rsid w:val="00E8692B"/>
    <w:rsid w:val="00E924B3"/>
    <w:rsid w:val="00E94E97"/>
    <w:rsid w:val="00E96FF0"/>
    <w:rsid w:val="00EA3856"/>
    <w:rsid w:val="00EA4401"/>
    <w:rsid w:val="00EA5494"/>
    <w:rsid w:val="00EA6EE7"/>
    <w:rsid w:val="00EB1D2F"/>
    <w:rsid w:val="00EB367F"/>
    <w:rsid w:val="00EB44A5"/>
    <w:rsid w:val="00EB519E"/>
    <w:rsid w:val="00EC0E6C"/>
    <w:rsid w:val="00EC269E"/>
    <w:rsid w:val="00EC5877"/>
    <w:rsid w:val="00EC6EAD"/>
    <w:rsid w:val="00EC7429"/>
    <w:rsid w:val="00ED3034"/>
    <w:rsid w:val="00ED789F"/>
    <w:rsid w:val="00EE276C"/>
    <w:rsid w:val="00EE295B"/>
    <w:rsid w:val="00EE3BB0"/>
    <w:rsid w:val="00EE3D73"/>
    <w:rsid w:val="00EE3F1B"/>
    <w:rsid w:val="00EE4676"/>
    <w:rsid w:val="00EE71C8"/>
    <w:rsid w:val="00EF3B4A"/>
    <w:rsid w:val="00EF4F27"/>
    <w:rsid w:val="00EF53B7"/>
    <w:rsid w:val="00F011D5"/>
    <w:rsid w:val="00F01219"/>
    <w:rsid w:val="00F01F7F"/>
    <w:rsid w:val="00F02433"/>
    <w:rsid w:val="00F02C72"/>
    <w:rsid w:val="00F03664"/>
    <w:rsid w:val="00F06287"/>
    <w:rsid w:val="00F10134"/>
    <w:rsid w:val="00F1016B"/>
    <w:rsid w:val="00F103FE"/>
    <w:rsid w:val="00F13E75"/>
    <w:rsid w:val="00F146EA"/>
    <w:rsid w:val="00F179C8"/>
    <w:rsid w:val="00F17A1D"/>
    <w:rsid w:val="00F22B59"/>
    <w:rsid w:val="00F23FA8"/>
    <w:rsid w:val="00F25D88"/>
    <w:rsid w:val="00F30089"/>
    <w:rsid w:val="00F3160E"/>
    <w:rsid w:val="00F33181"/>
    <w:rsid w:val="00F34F3C"/>
    <w:rsid w:val="00F36B20"/>
    <w:rsid w:val="00F3718E"/>
    <w:rsid w:val="00F413C5"/>
    <w:rsid w:val="00F41F93"/>
    <w:rsid w:val="00F477A4"/>
    <w:rsid w:val="00F5152A"/>
    <w:rsid w:val="00F5707A"/>
    <w:rsid w:val="00F605C0"/>
    <w:rsid w:val="00F60E11"/>
    <w:rsid w:val="00F6134C"/>
    <w:rsid w:val="00F61D1F"/>
    <w:rsid w:val="00F61F28"/>
    <w:rsid w:val="00F62DB2"/>
    <w:rsid w:val="00F660D8"/>
    <w:rsid w:val="00F66AAB"/>
    <w:rsid w:val="00F67A98"/>
    <w:rsid w:val="00F716D8"/>
    <w:rsid w:val="00F73C78"/>
    <w:rsid w:val="00F74D52"/>
    <w:rsid w:val="00F7505E"/>
    <w:rsid w:val="00F80995"/>
    <w:rsid w:val="00F8123B"/>
    <w:rsid w:val="00F82714"/>
    <w:rsid w:val="00F85FD7"/>
    <w:rsid w:val="00F8637A"/>
    <w:rsid w:val="00F86F22"/>
    <w:rsid w:val="00F963CC"/>
    <w:rsid w:val="00F9647A"/>
    <w:rsid w:val="00FA0D10"/>
    <w:rsid w:val="00FA19DD"/>
    <w:rsid w:val="00FA2189"/>
    <w:rsid w:val="00FA21D0"/>
    <w:rsid w:val="00FA2278"/>
    <w:rsid w:val="00FA282F"/>
    <w:rsid w:val="00FA3169"/>
    <w:rsid w:val="00FA3480"/>
    <w:rsid w:val="00FA4970"/>
    <w:rsid w:val="00FA5FF4"/>
    <w:rsid w:val="00FB1952"/>
    <w:rsid w:val="00FB1EB1"/>
    <w:rsid w:val="00FB4438"/>
    <w:rsid w:val="00FB49A9"/>
    <w:rsid w:val="00FB4F1D"/>
    <w:rsid w:val="00FB5483"/>
    <w:rsid w:val="00FB5673"/>
    <w:rsid w:val="00FC01EB"/>
    <w:rsid w:val="00FC1426"/>
    <w:rsid w:val="00FC201C"/>
    <w:rsid w:val="00FC50BF"/>
    <w:rsid w:val="00FC6B78"/>
    <w:rsid w:val="00FD018F"/>
    <w:rsid w:val="00FD0BC9"/>
    <w:rsid w:val="00FD12C5"/>
    <w:rsid w:val="00FD262C"/>
    <w:rsid w:val="00FD3673"/>
    <w:rsid w:val="00FD5568"/>
    <w:rsid w:val="00FD6882"/>
    <w:rsid w:val="00FD6D6E"/>
    <w:rsid w:val="00FD72E9"/>
    <w:rsid w:val="00FD7CCB"/>
    <w:rsid w:val="00FE2049"/>
    <w:rsid w:val="00FE4BD7"/>
    <w:rsid w:val="00FF01FF"/>
    <w:rsid w:val="00FF1153"/>
    <w:rsid w:val="00FF3CD5"/>
    <w:rsid w:val="00FF46C0"/>
    <w:rsid w:val="00FF52A0"/>
    <w:rsid w:val="00FF5600"/>
    <w:rsid w:val="00FF6B6B"/>
    <w:rsid w:val="00FF6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06E1F"/>
  <w15:docId w15:val="{13ED8A79-4142-46A7-BF48-2B91072B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52C4"/>
    <w:pPr>
      <w:widowControl w:val="0"/>
      <w:ind w:firstLineChars="200" w:firstLine="200"/>
      <w:jc w:val="both"/>
    </w:pPr>
    <w:rPr>
      <w:rFonts w:ascii="Times New Roman" w:eastAsia="宋体" w:hAnsi="Times New Roman"/>
    </w:rPr>
  </w:style>
  <w:style w:type="paragraph" w:styleId="1">
    <w:name w:val="heading 1"/>
    <w:basedOn w:val="a"/>
    <w:next w:val="a"/>
    <w:link w:val="1Char"/>
    <w:uiPriority w:val="9"/>
    <w:qFormat/>
    <w:rsid w:val="00E80C70"/>
    <w:pPr>
      <w:keepNext/>
      <w:keepLines/>
      <w:spacing w:beforeLines="50" w:afterLines="50"/>
      <w:ind w:firstLineChars="0" w:firstLine="0"/>
      <w:outlineLvl w:val="0"/>
    </w:pPr>
    <w:rPr>
      <w:rFonts w:eastAsia="黑体"/>
      <w:bCs/>
      <w:kern w:val="44"/>
      <w:szCs w:val="44"/>
    </w:rPr>
  </w:style>
  <w:style w:type="paragraph" w:styleId="2">
    <w:name w:val="heading 2"/>
    <w:basedOn w:val="a"/>
    <w:next w:val="a"/>
    <w:link w:val="2Char"/>
    <w:uiPriority w:val="9"/>
    <w:unhideWhenUsed/>
    <w:qFormat/>
    <w:rsid w:val="00E80C70"/>
    <w:pPr>
      <w:keepNext/>
      <w:keepLines/>
      <w:ind w:firstLineChars="0" w:firstLine="0"/>
      <w:outlineLvl w:val="1"/>
    </w:pPr>
    <w:rPr>
      <w:rFonts w:asciiTheme="majorHAnsi" w:eastAsia="黑体" w:hAnsiTheme="majorHAnsi" w:cstheme="majorBidi"/>
      <w:bCs/>
      <w:szCs w:val="32"/>
    </w:rPr>
  </w:style>
  <w:style w:type="paragraph" w:styleId="3">
    <w:name w:val="heading 3"/>
    <w:basedOn w:val="a"/>
    <w:next w:val="a"/>
    <w:link w:val="3Char"/>
    <w:uiPriority w:val="9"/>
    <w:unhideWhenUsed/>
    <w:qFormat/>
    <w:rsid w:val="00E02EA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80C70"/>
    <w:rPr>
      <w:rFonts w:ascii="Times New Roman" w:eastAsia="黑体" w:hAnsi="Times New Roman"/>
      <w:bCs/>
      <w:kern w:val="44"/>
      <w:szCs w:val="44"/>
    </w:rPr>
  </w:style>
  <w:style w:type="paragraph" w:styleId="a3">
    <w:name w:val="Title"/>
    <w:basedOn w:val="a"/>
    <w:next w:val="a"/>
    <w:link w:val="Char"/>
    <w:uiPriority w:val="10"/>
    <w:qFormat/>
    <w:rsid w:val="00277F71"/>
    <w:pPr>
      <w:spacing w:before="240" w:after="60"/>
      <w:jc w:val="center"/>
      <w:outlineLvl w:val="0"/>
    </w:pPr>
    <w:rPr>
      <w:rFonts w:asciiTheme="majorHAnsi" w:hAnsiTheme="majorHAnsi" w:cstheme="majorBidi"/>
      <w:b/>
      <w:bCs/>
      <w:sz w:val="32"/>
      <w:szCs w:val="32"/>
    </w:rPr>
  </w:style>
  <w:style w:type="character" w:customStyle="1" w:styleId="Char">
    <w:name w:val="标题 Char"/>
    <w:basedOn w:val="a0"/>
    <w:link w:val="a3"/>
    <w:uiPriority w:val="10"/>
    <w:rsid w:val="00277F71"/>
    <w:rPr>
      <w:rFonts w:asciiTheme="majorHAnsi" w:eastAsia="宋体" w:hAnsiTheme="majorHAnsi" w:cstheme="majorBidi"/>
      <w:b/>
      <w:bCs/>
      <w:sz w:val="32"/>
      <w:szCs w:val="32"/>
    </w:rPr>
  </w:style>
  <w:style w:type="paragraph" w:styleId="a4">
    <w:name w:val="List Paragraph"/>
    <w:basedOn w:val="a"/>
    <w:uiPriority w:val="34"/>
    <w:qFormat/>
    <w:rsid w:val="00167B0C"/>
    <w:pPr>
      <w:ind w:firstLine="420"/>
    </w:pPr>
  </w:style>
  <w:style w:type="paragraph" w:styleId="a5">
    <w:name w:val="Balloon Text"/>
    <w:basedOn w:val="a"/>
    <w:link w:val="Char0"/>
    <w:uiPriority w:val="99"/>
    <w:semiHidden/>
    <w:unhideWhenUsed/>
    <w:rsid w:val="0024542C"/>
    <w:rPr>
      <w:szCs w:val="18"/>
    </w:rPr>
  </w:style>
  <w:style w:type="character" w:customStyle="1" w:styleId="Char0">
    <w:name w:val="批注框文本 Char"/>
    <w:basedOn w:val="a0"/>
    <w:link w:val="a5"/>
    <w:uiPriority w:val="99"/>
    <w:semiHidden/>
    <w:rsid w:val="0024542C"/>
    <w:rPr>
      <w:sz w:val="18"/>
      <w:szCs w:val="18"/>
    </w:rPr>
  </w:style>
  <w:style w:type="paragraph" w:customStyle="1" w:styleId="a6">
    <w:name w:val="图名"/>
    <w:basedOn w:val="a"/>
    <w:link w:val="Char1"/>
    <w:qFormat/>
    <w:rsid w:val="00FA3480"/>
    <w:pPr>
      <w:ind w:left="59" w:hangingChars="33" w:hanging="59"/>
      <w:jc w:val="center"/>
    </w:pPr>
    <w:rPr>
      <w:rFonts w:cs="Times New Roman"/>
      <w:sz w:val="18"/>
    </w:rPr>
  </w:style>
  <w:style w:type="character" w:customStyle="1" w:styleId="2Char">
    <w:name w:val="标题 2 Char"/>
    <w:basedOn w:val="a0"/>
    <w:link w:val="2"/>
    <w:uiPriority w:val="9"/>
    <w:rsid w:val="00E80C70"/>
    <w:rPr>
      <w:rFonts w:asciiTheme="majorHAnsi" w:eastAsia="黑体" w:hAnsiTheme="majorHAnsi" w:cstheme="majorBidi"/>
      <w:bCs/>
      <w:szCs w:val="32"/>
    </w:rPr>
  </w:style>
  <w:style w:type="character" w:customStyle="1" w:styleId="Char1">
    <w:name w:val="图名 Char"/>
    <w:basedOn w:val="a0"/>
    <w:link w:val="a6"/>
    <w:rsid w:val="00FA3480"/>
    <w:rPr>
      <w:rFonts w:ascii="Times New Roman" w:eastAsia="宋体" w:hAnsi="Times New Roman" w:cs="Times New Roman"/>
      <w:sz w:val="18"/>
    </w:rPr>
  </w:style>
  <w:style w:type="character" w:styleId="a7">
    <w:name w:val="Placeholder Text"/>
    <w:basedOn w:val="a0"/>
    <w:uiPriority w:val="99"/>
    <w:semiHidden/>
    <w:rsid w:val="00035197"/>
    <w:rPr>
      <w:color w:val="808080"/>
    </w:rPr>
  </w:style>
  <w:style w:type="paragraph" w:styleId="a8">
    <w:name w:val="header"/>
    <w:basedOn w:val="a"/>
    <w:link w:val="Char2"/>
    <w:uiPriority w:val="99"/>
    <w:semiHidden/>
    <w:unhideWhenUsed/>
    <w:rsid w:val="003C0627"/>
    <w:pPr>
      <w:pBdr>
        <w:bottom w:val="single" w:sz="6" w:space="1" w:color="auto"/>
      </w:pBdr>
      <w:tabs>
        <w:tab w:val="center" w:pos="4153"/>
        <w:tab w:val="right" w:pos="8306"/>
      </w:tabs>
      <w:snapToGrid w:val="0"/>
      <w:jc w:val="center"/>
    </w:pPr>
    <w:rPr>
      <w:szCs w:val="18"/>
    </w:rPr>
  </w:style>
  <w:style w:type="character" w:customStyle="1" w:styleId="Char2">
    <w:name w:val="页眉 Char"/>
    <w:basedOn w:val="a0"/>
    <w:link w:val="a8"/>
    <w:uiPriority w:val="99"/>
    <w:semiHidden/>
    <w:rsid w:val="003C0627"/>
    <w:rPr>
      <w:rFonts w:ascii="Times New Roman" w:eastAsia="宋体" w:hAnsi="Times New Roman"/>
      <w:sz w:val="18"/>
      <w:szCs w:val="18"/>
    </w:rPr>
  </w:style>
  <w:style w:type="paragraph" w:styleId="a9">
    <w:name w:val="footer"/>
    <w:basedOn w:val="a"/>
    <w:link w:val="Char3"/>
    <w:uiPriority w:val="99"/>
    <w:unhideWhenUsed/>
    <w:rsid w:val="003C0627"/>
    <w:pPr>
      <w:tabs>
        <w:tab w:val="center" w:pos="4153"/>
        <w:tab w:val="right" w:pos="8306"/>
      </w:tabs>
      <w:snapToGrid w:val="0"/>
      <w:jc w:val="left"/>
    </w:pPr>
    <w:rPr>
      <w:szCs w:val="18"/>
    </w:rPr>
  </w:style>
  <w:style w:type="character" w:customStyle="1" w:styleId="Char3">
    <w:name w:val="页脚 Char"/>
    <w:basedOn w:val="a0"/>
    <w:link w:val="a9"/>
    <w:uiPriority w:val="99"/>
    <w:rsid w:val="003C0627"/>
    <w:rPr>
      <w:rFonts w:ascii="Times New Roman" w:eastAsia="宋体" w:hAnsi="Times New Roman"/>
      <w:sz w:val="18"/>
      <w:szCs w:val="18"/>
    </w:rPr>
  </w:style>
  <w:style w:type="table" w:styleId="aa">
    <w:name w:val="Table Grid"/>
    <w:basedOn w:val="a1"/>
    <w:uiPriority w:val="59"/>
    <w:rsid w:val="008D6D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3Char">
    <w:name w:val="标题 3 Char"/>
    <w:basedOn w:val="a0"/>
    <w:link w:val="3"/>
    <w:uiPriority w:val="9"/>
    <w:rsid w:val="00E02EA5"/>
    <w:rPr>
      <w:rFonts w:ascii="Times New Roman" w:eastAsia="宋体" w:hAnsi="Times New Roman"/>
      <w:b/>
      <w:bCs/>
      <w:sz w:val="32"/>
      <w:szCs w:val="32"/>
    </w:rPr>
  </w:style>
  <w:style w:type="paragraph" w:styleId="ab">
    <w:name w:val="Document Map"/>
    <w:basedOn w:val="a"/>
    <w:link w:val="Char4"/>
    <w:uiPriority w:val="99"/>
    <w:semiHidden/>
    <w:unhideWhenUsed/>
    <w:rsid w:val="00332F40"/>
    <w:rPr>
      <w:rFonts w:ascii="宋体"/>
      <w:szCs w:val="18"/>
    </w:rPr>
  </w:style>
  <w:style w:type="character" w:customStyle="1" w:styleId="Char4">
    <w:name w:val="文档结构图 Char"/>
    <w:basedOn w:val="a0"/>
    <w:link w:val="ab"/>
    <w:uiPriority w:val="99"/>
    <w:semiHidden/>
    <w:rsid w:val="00332F40"/>
    <w:rPr>
      <w:rFonts w:ascii="宋体" w:eastAsia="宋体" w:hAnsi="Times New Roman"/>
      <w:sz w:val="18"/>
      <w:szCs w:val="18"/>
    </w:rPr>
  </w:style>
  <w:style w:type="paragraph" w:styleId="ac">
    <w:name w:val="endnote text"/>
    <w:basedOn w:val="a"/>
    <w:link w:val="Char5"/>
    <w:uiPriority w:val="99"/>
    <w:unhideWhenUsed/>
    <w:rsid w:val="00BE71A6"/>
    <w:pPr>
      <w:snapToGrid w:val="0"/>
      <w:spacing w:line="360" w:lineRule="auto"/>
      <w:ind w:firstLine="480"/>
      <w:jc w:val="left"/>
    </w:pPr>
    <w:rPr>
      <w:rFonts w:ascii="宋体" w:hAnsi="宋体" w:cs="Times New Roman"/>
      <w:sz w:val="24"/>
      <w:szCs w:val="20"/>
    </w:rPr>
  </w:style>
  <w:style w:type="character" w:customStyle="1" w:styleId="Char5">
    <w:name w:val="尾注文本 Char"/>
    <w:basedOn w:val="a0"/>
    <w:link w:val="ac"/>
    <w:uiPriority w:val="99"/>
    <w:rsid w:val="00BE71A6"/>
    <w:rPr>
      <w:rFonts w:ascii="宋体" w:eastAsia="宋体" w:hAnsi="宋体" w:cs="Times New Roman"/>
      <w:sz w:val="24"/>
      <w:szCs w:val="20"/>
    </w:rPr>
  </w:style>
  <w:style w:type="character" w:styleId="ad">
    <w:name w:val="endnote reference"/>
    <w:basedOn w:val="a0"/>
    <w:uiPriority w:val="99"/>
    <w:semiHidden/>
    <w:unhideWhenUsed/>
    <w:rsid w:val="00BE71A6"/>
    <w:rPr>
      <w:vertAlign w:val="superscript"/>
    </w:rPr>
  </w:style>
  <w:style w:type="paragraph" w:customStyle="1" w:styleId="ae">
    <w:name w:val="表头"/>
    <w:basedOn w:val="a6"/>
    <w:qFormat/>
    <w:rsid w:val="004C1438"/>
    <w:pPr>
      <w:keepNext/>
      <w:ind w:left="0" w:firstLineChars="0" w:firstLine="0"/>
      <w:jc w:val="right"/>
    </w:pPr>
    <w:rPr>
      <w:rFonts w:eastAsia="黑体"/>
    </w:rPr>
  </w:style>
  <w:style w:type="paragraph" w:customStyle="1" w:styleId="af">
    <w:name w:val="表字"/>
    <w:basedOn w:val="a6"/>
    <w:qFormat/>
    <w:rsid w:val="000D1370"/>
    <w:pPr>
      <w:ind w:left="0" w:firstLineChars="0" w:firstLine="0"/>
    </w:pPr>
    <w:rPr>
      <w:sz w:val="15"/>
    </w:rPr>
  </w:style>
  <w:style w:type="paragraph" w:styleId="af0">
    <w:name w:val="footnote text"/>
    <w:basedOn w:val="a"/>
    <w:link w:val="Char6"/>
    <w:uiPriority w:val="99"/>
    <w:semiHidden/>
    <w:unhideWhenUsed/>
    <w:rsid w:val="00707D72"/>
    <w:pPr>
      <w:snapToGrid w:val="0"/>
      <w:jc w:val="left"/>
    </w:pPr>
    <w:rPr>
      <w:sz w:val="18"/>
      <w:szCs w:val="18"/>
    </w:rPr>
  </w:style>
  <w:style w:type="character" w:customStyle="1" w:styleId="Char6">
    <w:name w:val="脚注文本 Char"/>
    <w:basedOn w:val="a0"/>
    <w:link w:val="af0"/>
    <w:uiPriority w:val="99"/>
    <w:semiHidden/>
    <w:rsid w:val="00707D72"/>
    <w:rPr>
      <w:rFonts w:ascii="Times New Roman" w:eastAsia="宋体" w:hAnsi="Times New Roman"/>
      <w:sz w:val="18"/>
      <w:szCs w:val="18"/>
    </w:rPr>
  </w:style>
  <w:style w:type="character" w:styleId="af1">
    <w:name w:val="footnote reference"/>
    <w:basedOn w:val="a0"/>
    <w:uiPriority w:val="99"/>
    <w:semiHidden/>
    <w:unhideWhenUsed/>
    <w:rsid w:val="00707D72"/>
    <w:rPr>
      <w:vertAlign w:val="superscript"/>
    </w:rPr>
  </w:style>
  <w:style w:type="paragraph" w:customStyle="1" w:styleId="gj">
    <w:name w:val="题注gj"/>
    <w:basedOn w:val="a"/>
    <w:link w:val="gjChar"/>
    <w:qFormat/>
    <w:rsid w:val="000A642D"/>
    <w:pPr>
      <w:ind w:firstLineChars="0" w:firstLine="0"/>
      <w:jc w:val="center"/>
    </w:pPr>
    <w:rPr>
      <w:rFonts w:ascii="黑体" w:eastAsia="黑体" w:cs="Times New Roman"/>
      <w:szCs w:val="24"/>
    </w:rPr>
  </w:style>
  <w:style w:type="character" w:customStyle="1" w:styleId="gjChar">
    <w:name w:val="题注gj Char"/>
    <w:basedOn w:val="a0"/>
    <w:link w:val="gj"/>
    <w:rsid w:val="000A642D"/>
    <w:rPr>
      <w:rFonts w:ascii="黑体" w:eastAsia="黑体" w:hAnsi="Times New Roman" w:cs="Times New Roman"/>
      <w:szCs w:val="24"/>
    </w:rPr>
  </w:style>
  <w:style w:type="character" w:styleId="af2">
    <w:name w:val="Hyperlink"/>
    <w:basedOn w:val="a0"/>
    <w:uiPriority w:val="99"/>
    <w:unhideWhenUsed/>
    <w:rsid w:val="00F179C8"/>
    <w:rPr>
      <w:color w:val="0000FF" w:themeColor="hyperlink"/>
      <w:u w:val="single"/>
    </w:rPr>
  </w:style>
  <w:style w:type="paragraph" w:customStyle="1" w:styleId="af3">
    <w:name w:val="正文内容"/>
    <w:basedOn w:val="a"/>
    <w:link w:val="Char7"/>
    <w:autoRedefine/>
    <w:qFormat/>
    <w:rsid w:val="00BE6C70"/>
    <w:pPr>
      <w:topLinePunct/>
      <w:spacing w:line="312" w:lineRule="auto"/>
      <w:ind w:leftChars="361" w:left="758" w:firstLine="480"/>
    </w:pPr>
    <w:rPr>
      <w:rFonts w:ascii="宋体" w:hAnsi="宋体" w:cs="Times New Roman"/>
      <w:sz w:val="24"/>
      <w:szCs w:val="24"/>
      <w:lang w:val="x-none" w:eastAsia="x-none"/>
    </w:rPr>
  </w:style>
  <w:style w:type="character" w:customStyle="1" w:styleId="Char7">
    <w:name w:val="正文内容 Char"/>
    <w:link w:val="af3"/>
    <w:rsid w:val="00BE6C70"/>
    <w:rPr>
      <w:rFonts w:ascii="宋体" w:eastAsia="宋体" w:hAnsi="宋体" w:cs="Times New Roman"/>
      <w:sz w:val="24"/>
      <w:szCs w:val="24"/>
      <w:lang w:val="x-none" w:eastAsia="x-none"/>
    </w:rPr>
  </w:style>
  <w:style w:type="paragraph" w:styleId="af4">
    <w:name w:val="Subtitle"/>
    <w:basedOn w:val="a"/>
    <w:next w:val="a"/>
    <w:link w:val="Char8"/>
    <w:qFormat/>
    <w:rsid w:val="00FD0BC9"/>
    <w:pPr>
      <w:spacing w:before="240" w:after="60" w:line="312" w:lineRule="auto"/>
      <w:ind w:firstLineChars="0" w:firstLine="0"/>
      <w:jc w:val="center"/>
      <w:outlineLvl w:val="1"/>
    </w:pPr>
    <w:rPr>
      <w:rFonts w:ascii="Cambria" w:hAnsi="Cambria" w:cs="Times New Roman"/>
      <w:b/>
      <w:bCs/>
      <w:kern w:val="28"/>
      <w:sz w:val="32"/>
      <w:szCs w:val="32"/>
      <w:lang w:val="x-none" w:eastAsia="x-none"/>
    </w:rPr>
  </w:style>
  <w:style w:type="character" w:customStyle="1" w:styleId="Char8">
    <w:name w:val="副标题 Char"/>
    <w:basedOn w:val="a0"/>
    <w:link w:val="af4"/>
    <w:rsid w:val="00FD0BC9"/>
    <w:rPr>
      <w:rFonts w:ascii="Cambria" w:eastAsia="宋体" w:hAnsi="Cambria" w:cs="Times New Roman"/>
      <w:b/>
      <w:bCs/>
      <w:kern w:val="28"/>
      <w:sz w:val="32"/>
      <w:szCs w:val="32"/>
      <w:lang w:val="x-none" w:eastAsia="x-none"/>
    </w:rPr>
  </w:style>
  <w:style w:type="paragraph" w:customStyle="1" w:styleId="ReportText">
    <w:name w:val="Report Text"/>
    <w:basedOn w:val="a"/>
    <w:rsid w:val="004F27C3"/>
    <w:pPr>
      <w:widowControl/>
      <w:spacing w:after="138"/>
      <w:ind w:left="1077" w:firstLineChars="0" w:firstLine="0"/>
    </w:pPr>
    <w:rPr>
      <w:rFonts w:eastAsia="華康簡宋" w:cs="Times New Roman"/>
      <w:kern w:val="0"/>
      <w:sz w:val="22"/>
      <w:szCs w:val="20"/>
      <w:lang w:val="en-GB"/>
    </w:rPr>
  </w:style>
  <w:style w:type="character" w:styleId="af5">
    <w:name w:val="annotation reference"/>
    <w:basedOn w:val="a0"/>
    <w:uiPriority w:val="99"/>
    <w:semiHidden/>
    <w:unhideWhenUsed/>
    <w:rsid w:val="003F39B2"/>
    <w:rPr>
      <w:sz w:val="21"/>
      <w:szCs w:val="21"/>
    </w:rPr>
  </w:style>
  <w:style w:type="paragraph" w:styleId="af6">
    <w:name w:val="annotation text"/>
    <w:basedOn w:val="a"/>
    <w:link w:val="Char9"/>
    <w:uiPriority w:val="99"/>
    <w:semiHidden/>
    <w:unhideWhenUsed/>
    <w:rsid w:val="003F39B2"/>
    <w:pPr>
      <w:jc w:val="left"/>
    </w:pPr>
  </w:style>
  <w:style w:type="character" w:customStyle="1" w:styleId="Char9">
    <w:name w:val="批注文字 Char"/>
    <w:basedOn w:val="a0"/>
    <w:link w:val="af6"/>
    <w:uiPriority w:val="99"/>
    <w:semiHidden/>
    <w:rsid w:val="003F39B2"/>
    <w:rPr>
      <w:rFonts w:ascii="Times New Roman" w:eastAsia="宋体" w:hAnsi="Times New Roman"/>
    </w:rPr>
  </w:style>
  <w:style w:type="paragraph" w:styleId="af7">
    <w:name w:val="annotation subject"/>
    <w:basedOn w:val="af6"/>
    <w:next w:val="af6"/>
    <w:link w:val="Chara"/>
    <w:uiPriority w:val="99"/>
    <w:semiHidden/>
    <w:unhideWhenUsed/>
    <w:rsid w:val="003F39B2"/>
    <w:rPr>
      <w:b/>
      <w:bCs/>
    </w:rPr>
  </w:style>
  <w:style w:type="character" w:customStyle="1" w:styleId="Chara">
    <w:name w:val="批注主题 Char"/>
    <w:basedOn w:val="Char9"/>
    <w:link w:val="af7"/>
    <w:uiPriority w:val="99"/>
    <w:semiHidden/>
    <w:rsid w:val="003F39B2"/>
    <w:rPr>
      <w:rFonts w:ascii="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194961">
      <w:bodyDiv w:val="1"/>
      <w:marLeft w:val="0"/>
      <w:marRight w:val="0"/>
      <w:marTop w:val="0"/>
      <w:marBottom w:val="0"/>
      <w:divBdr>
        <w:top w:val="none" w:sz="0" w:space="0" w:color="auto"/>
        <w:left w:val="none" w:sz="0" w:space="0" w:color="auto"/>
        <w:bottom w:val="none" w:sz="0" w:space="0" w:color="auto"/>
        <w:right w:val="none" w:sz="0" w:space="0" w:color="auto"/>
      </w:divBdr>
    </w:div>
    <w:div w:id="379325756">
      <w:bodyDiv w:val="1"/>
      <w:marLeft w:val="0"/>
      <w:marRight w:val="0"/>
      <w:marTop w:val="0"/>
      <w:marBottom w:val="0"/>
      <w:divBdr>
        <w:top w:val="none" w:sz="0" w:space="0" w:color="auto"/>
        <w:left w:val="none" w:sz="0" w:space="0" w:color="auto"/>
        <w:bottom w:val="none" w:sz="0" w:space="0" w:color="auto"/>
        <w:right w:val="none" w:sz="0" w:space="0" w:color="auto"/>
      </w:divBdr>
    </w:div>
    <w:div w:id="430785487">
      <w:bodyDiv w:val="1"/>
      <w:marLeft w:val="0"/>
      <w:marRight w:val="0"/>
      <w:marTop w:val="0"/>
      <w:marBottom w:val="0"/>
      <w:divBdr>
        <w:top w:val="none" w:sz="0" w:space="0" w:color="auto"/>
        <w:left w:val="none" w:sz="0" w:space="0" w:color="auto"/>
        <w:bottom w:val="none" w:sz="0" w:space="0" w:color="auto"/>
        <w:right w:val="none" w:sz="0" w:space="0" w:color="auto"/>
      </w:divBdr>
    </w:div>
    <w:div w:id="513619265">
      <w:bodyDiv w:val="1"/>
      <w:marLeft w:val="0"/>
      <w:marRight w:val="0"/>
      <w:marTop w:val="0"/>
      <w:marBottom w:val="0"/>
      <w:divBdr>
        <w:top w:val="none" w:sz="0" w:space="0" w:color="auto"/>
        <w:left w:val="none" w:sz="0" w:space="0" w:color="auto"/>
        <w:bottom w:val="none" w:sz="0" w:space="0" w:color="auto"/>
        <w:right w:val="none" w:sz="0" w:space="0" w:color="auto"/>
      </w:divBdr>
    </w:div>
    <w:div w:id="523981981">
      <w:bodyDiv w:val="1"/>
      <w:marLeft w:val="0"/>
      <w:marRight w:val="0"/>
      <w:marTop w:val="0"/>
      <w:marBottom w:val="0"/>
      <w:divBdr>
        <w:top w:val="none" w:sz="0" w:space="0" w:color="auto"/>
        <w:left w:val="none" w:sz="0" w:space="0" w:color="auto"/>
        <w:bottom w:val="none" w:sz="0" w:space="0" w:color="auto"/>
        <w:right w:val="none" w:sz="0" w:space="0" w:color="auto"/>
      </w:divBdr>
    </w:div>
    <w:div w:id="810486771">
      <w:bodyDiv w:val="1"/>
      <w:marLeft w:val="0"/>
      <w:marRight w:val="0"/>
      <w:marTop w:val="0"/>
      <w:marBottom w:val="0"/>
      <w:divBdr>
        <w:top w:val="none" w:sz="0" w:space="0" w:color="auto"/>
        <w:left w:val="none" w:sz="0" w:space="0" w:color="auto"/>
        <w:bottom w:val="none" w:sz="0" w:space="0" w:color="auto"/>
        <w:right w:val="none" w:sz="0" w:space="0" w:color="auto"/>
      </w:divBdr>
    </w:div>
    <w:div w:id="980384753">
      <w:bodyDiv w:val="1"/>
      <w:marLeft w:val="0"/>
      <w:marRight w:val="0"/>
      <w:marTop w:val="0"/>
      <w:marBottom w:val="0"/>
      <w:divBdr>
        <w:top w:val="none" w:sz="0" w:space="0" w:color="auto"/>
        <w:left w:val="none" w:sz="0" w:space="0" w:color="auto"/>
        <w:bottom w:val="none" w:sz="0" w:space="0" w:color="auto"/>
        <w:right w:val="none" w:sz="0" w:space="0" w:color="auto"/>
      </w:divBdr>
    </w:div>
    <w:div w:id="1125733507">
      <w:bodyDiv w:val="1"/>
      <w:marLeft w:val="0"/>
      <w:marRight w:val="0"/>
      <w:marTop w:val="0"/>
      <w:marBottom w:val="0"/>
      <w:divBdr>
        <w:top w:val="none" w:sz="0" w:space="0" w:color="auto"/>
        <w:left w:val="none" w:sz="0" w:space="0" w:color="auto"/>
        <w:bottom w:val="none" w:sz="0" w:space="0" w:color="auto"/>
        <w:right w:val="none" w:sz="0" w:space="0" w:color="auto"/>
      </w:divBdr>
    </w:div>
    <w:div w:id="1476682551">
      <w:bodyDiv w:val="1"/>
      <w:marLeft w:val="0"/>
      <w:marRight w:val="0"/>
      <w:marTop w:val="0"/>
      <w:marBottom w:val="0"/>
      <w:divBdr>
        <w:top w:val="none" w:sz="0" w:space="0" w:color="auto"/>
        <w:left w:val="none" w:sz="0" w:space="0" w:color="auto"/>
        <w:bottom w:val="none" w:sz="0" w:space="0" w:color="auto"/>
        <w:right w:val="none" w:sz="0" w:space="0" w:color="auto"/>
      </w:divBdr>
    </w:div>
    <w:div w:id="1705985698">
      <w:bodyDiv w:val="1"/>
      <w:marLeft w:val="0"/>
      <w:marRight w:val="0"/>
      <w:marTop w:val="0"/>
      <w:marBottom w:val="0"/>
      <w:divBdr>
        <w:top w:val="none" w:sz="0" w:space="0" w:color="auto"/>
        <w:left w:val="none" w:sz="0" w:space="0" w:color="auto"/>
        <w:bottom w:val="none" w:sz="0" w:space="0" w:color="auto"/>
        <w:right w:val="none" w:sz="0" w:space="0" w:color="auto"/>
      </w:divBdr>
    </w:div>
    <w:div w:id="1782996977">
      <w:bodyDiv w:val="1"/>
      <w:marLeft w:val="0"/>
      <w:marRight w:val="0"/>
      <w:marTop w:val="0"/>
      <w:marBottom w:val="0"/>
      <w:divBdr>
        <w:top w:val="none" w:sz="0" w:space="0" w:color="auto"/>
        <w:left w:val="none" w:sz="0" w:space="0" w:color="auto"/>
        <w:bottom w:val="none" w:sz="0" w:space="0" w:color="auto"/>
        <w:right w:val="none" w:sz="0" w:space="0" w:color="auto"/>
      </w:divBdr>
    </w:div>
    <w:div w:id="194426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chart" Target="charts/chart1.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3.w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chart" Target="charts/chart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hart" Target="charts/chart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oleObject" Target="embeddings/oleObject1.bin"/><Relationship Id="rId27" Type="http://schemas.openxmlformats.org/officeDocument/2006/relationships/chart" Target="charts/chart4.xml"/><Relationship Id="rId30" Type="http://schemas.openxmlformats.org/officeDocument/2006/relationships/theme" Target="theme/theme1.xml"/><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s>
</file>

<file path=word/charts/_rels/chart1.xml.rels><?xml version='1.0' encoding='UTF-8' standalone='yes'?>
<Relationships xmlns="http://schemas.openxmlformats.org/package/2006/relationships"><Relationship Id="rId1" Type="http://schemas.openxmlformats.org/officeDocument/2006/relationships/oleObject" Target="file:///G:\Project\En%20cours\&#33487;&#24030;&#21326;&#36152;\record\&#35770;&#25991;\&#22270;\&#23618;&#38388;&#20301;&#31227;&#35282;%20-%20&#23567;&#3866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Project\En%20cours\&#33487;&#24030;&#21326;&#36152;\record\&#36229;&#38480;\excel\&#23618;&#38388;&#20301;&#31227;&#35282;%20-%20&#20013;&#38663;.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Project\En%20cours\&#33487;&#24030;&#21326;&#36152;\record\&#35770;&#25991;\&#22270;\&#23618;&#38388;&#20301;&#31227;&#35282;%20-%20&#22823;&#38663;.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G:\Project\En%20cours\&#33487;&#24030;&#21326;&#36152;\record\&#35770;&#25991;\&#22270;4&#22823;&#38663;&#24377;&#24615;&#24377;&#22609;&#24615;&#26102;&#31243;&#27604;&#3673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07671939237684"/>
          <c:y val="5.1400554097404488E-2"/>
          <c:w val="0.56990314263814368"/>
          <c:h val="0.76248083210044204"/>
        </c:manualLayout>
      </c:layout>
      <c:scatterChart>
        <c:scatterStyle val="smoothMarker"/>
        <c:varyColors val="0"/>
        <c:ser>
          <c:idx val="0"/>
          <c:order val="0"/>
          <c:tx>
            <c:strRef>
              <c:f>'A1'!$I$2</c:f>
              <c:strCache>
                <c:ptCount val="1"/>
                <c:pt idx="0">
                  <c:v>YJK-EX</c:v>
                </c:pt>
              </c:strCache>
            </c:strRef>
          </c:tx>
          <c:spPr>
            <a:ln w="12700"/>
          </c:spPr>
          <c:marker>
            <c:symbol val="diamond"/>
            <c:size val="5"/>
          </c:marker>
          <c:xVal>
            <c:numRef>
              <c:f>'A1'!$I$8:$I$32</c:f>
              <c:numCache>
                <c:formatCode>General</c:formatCode>
                <c:ptCount val="25"/>
                <c:pt idx="0">
                  <c:v>6.0277275467148883E-4</c:v>
                </c:pt>
                <c:pt idx="1">
                  <c:v>6.3734862970044612E-4</c:v>
                </c:pt>
                <c:pt idx="2">
                  <c:v>6.6889632107023408E-4</c:v>
                </c:pt>
                <c:pt idx="3">
                  <c:v>7.0126227208976155E-4</c:v>
                </c:pt>
                <c:pt idx="4">
                  <c:v>7.326007326007326E-4</c:v>
                </c:pt>
                <c:pt idx="5">
                  <c:v>7.6628352490421458E-4</c:v>
                </c:pt>
                <c:pt idx="6">
                  <c:v>7.9365079365079365E-4</c:v>
                </c:pt>
                <c:pt idx="7">
                  <c:v>8.1900081900081905E-4</c:v>
                </c:pt>
                <c:pt idx="8">
                  <c:v>8.4459459459459464E-4</c:v>
                </c:pt>
                <c:pt idx="9">
                  <c:v>8.6132644272179156E-4</c:v>
                </c:pt>
                <c:pt idx="10">
                  <c:v>8.7796312554872696E-4</c:v>
                </c:pt>
                <c:pt idx="11">
                  <c:v>8.9766606822262122E-4</c:v>
                </c:pt>
                <c:pt idx="12">
                  <c:v>9.099181073703367E-4</c:v>
                </c:pt>
                <c:pt idx="13">
                  <c:v>9.1575091575091575E-4</c:v>
                </c:pt>
                <c:pt idx="14">
                  <c:v>9.2678405931417981E-4</c:v>
                </c:pt>
                <c:pt idx="15">
                  <c:v>9.2850510677808728E-4</c:v>
                </c:pt>
                <c:pt idx="16">
                  <c:v>9.2421441774491681E-4</c:v>
                </c:pt>
                <c:pt idx="17">
                  <c:v>9.1743119266055051E-4</c:v>
                </c:pt>
                <c:pt idx="18">
                  <c:v>8.9766606822262122E-4</c:v>
                </c:pt>
                <c:pt idx="19">
                  <c:v>8.6505190311418688E-4</c:v>
                </c:pt>
                <c:pt idx="20">
                  <c:v>8.1833060556464816E-4</c:v>
                </c:pt>
                <c:pt idx="21">
                  <c:v>7.4738415545590436E-4</c:v>
                </c:pt>
                <c:pt idx="22">
                  <c:v>6.3653723742838951E-4</c:v>
                </c:pt>
                <c:pt idx="23">
                  <c:v>4.8053820278712159E-4</c:v>
                </c:pt>
                <c:pt idx="24">
                  <c:v>3.6643459142543056E-4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ser>
          <c:idx val="1"/>
          <c:order val="1"/>
          <c:tx>
            <c:strRef>
              <c:f>'A1'!$J$2</c:f>
              <c:strCache>
                <c:ptCount val="1"/>
                <c:pt idx="0">
                  <c:v>YJK-EY</c:v>
                </c:pt>
              </c:strCache>
            </c:strRef>
          </c:tx>
          <c:spPr>
            <a:ln w="12700"/>
          </c:spPr>
          <c:marker>
            <c:symbol val="square"/>
            <c:size val="4"/>
          </c:marker>
          <c:xVal>
            <c:numRef>
              <c:f>'A1'!$J$8:$J$32</c:f>
              <c:numCache>
                <c:formatCode>General</c:formatCode>
                <c:ptCount val="25"/>
                <c:pt idx="0">
                  <c:v>8.438818565400844E-4</c:v>
                </c:pt>
                <c:pt idx="1">
                  <c:v>8.5689802913453304E-4</c:v>
                </c:pt>
                <c:pt idx="2">
                  <c:v>8.7412587412587413E-4</c:v>
                </c:pt>
                <c:pt idx="3">
                  <c:v>8.8888888888888893E-4</c:v>
                </c:pt>
                <c:pt idx="4">
                  <c:v>9.0090090090090091E-4</c:v>
                </c:pt>
                <c:pt idx="5">
                  <c:v>9.1074681238615665E-4</c:v>
                </c:pt>
                <c:pt idx="6">
                  <c:v>9.1659028414298811E-4</c:v>
                </c:pt>
                <c:pt idx="7">
                  <c:v>9.1911764705882352E-4</c:v>
                </c:pt>
                <c:pt idx="8">
                  <c:v>9.1827364554637281E-4</c:v>
                </c:pt>
                <c:pt idx="9">
                  <c:v>9.1240875912408756E-4</c:v>
                </c:pt>
                <c:pt idx="10">
                  <c:v>9.0579710144927537E-4</c:v>
                </c:pt>
                <c:pt idx="11">
                  <c:v>8.960573476702509E-4</c:v>
                </c:pt>
                <c:pt idx="12">
                  <c:v>8.8339222614840988E-4</c:v>
                </c:pt>
                <c:pt idx="13">
                  <c:v>8.6655112651646442E-4</c:v>
                </c:pt>
                <c:pt idx="14">
                  <c:v>8.4817642069550466E-4</c:v>
                </c:pt>
                <c:pt idx="15">
                  <c:v>8.2644628099173552E-4</c:v>
                </c:pt>
                <c:pt idx="16">
                  <c:v>8.0064051240992789E-4</c:v>
                </c:pt>
                <c:pt idx="17">
                  <c:v>7.6804915514592934E-4</c:v>
                </c:pt>
                <c:pt idx="18">
                  <c:v>7.2992700729927003E-4</c:v>
                </c:pt>
                <c:pt idx="19">
                  <c:v>6.8493150684931507E-4</c:v>
                </c:pt>
                <c:pt idx="20">
                  <c:v>6.2460961898813238E-4</c:v>
                </c:pt>
                <c:pt idx="21">
                  <c:v>5.5803571428571425E-4</c:v>
                </c:pt>
                <c:pt idx="22">
                  <c:v>4.7169811320754717E-4</c:v>
                </c:pt>
                <c:pt idx="23">
                  <c:v>3.6231884057971015E-4</c:v>
                </c:pt>
                <c:pt idx="24">
                  <c:v>2.7487630566245191E-4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ser>
          <c:idx val="4"/>
          <c:order val="2"/>
          <c:tx>
            <c:strRef>
              <c:f>'A1'!$M$2</c:f>
              <c:strCache>
                <c:ptCount val="1"/>
                <c:pt idx="0">
                  <c:v>规范限值</c:v>
                </c:pt>
              </c:strCache>
            </c:strRef>
          </c:tx>
          <c:spPr>
            <a:ln w="12700"/>
          </c:spPr>
          <c:marker>
            <c:symbol val="star"/>
            <c:size val="5"/>
          </c:marker>
          <c:xVal>
            <c:numRef>
              <c:f>'A1'!$M$8:$M$32</c:f>
              <c:numCache>
                <c:formatCode>General</c:formatCode>
                <c:ptCount val="25"/>
                <c:pt idx="0">
                  <c:v>1E-3</c:v>
                </c:pt>
                <c:pt idx="1">
                  <c:v>1E-3</c:v>
                </c:pt>
                <c:pt idx="2">
                  <c:v>1E-3</c:v>
                </c:pt>
                <c:pt idx="3">
                  <c:v>1E-3</c:v>
                </c:pt>
                <c:pt idx="4">
                  <c:v>1E-3</c:v>
                </c:pt>
                <c:pt idx="5">
                  <c:v>1E-3</c:v>
                </c:pt>
                <c:pt idx="6">
                  <c:v>1E-3</c:v>
                </c:pt>
                <c:pt idx="7">
                  <c:v>1E-3</c:v>
                </c:pt>
                <c:pt idx="8">
                  <c:v>1E-3</c:v>
                </c:pt>
                <c:pt idx="9">
                  <c:v>1E-3</c:v>
                </c:pt>
                <c:pt idx="10">
                  <c:v>1E-3</c:v>
                </c:pt>
                <c:pt idx="11">
                  <c:v>1E-3</c:v>
                </c:pt>
                <c:pt idx="12">
                  <c:v>1E-3</c:v>
                </c:pt>
                <c:pt idx="13">
                  <c:v>1E-3</c:v>
                </c:pt>
                <c:pt idx="14">
                  <c:v>1E-3</c:v>
                </c:pt>
                <c:pt idx="15">
                  <c:v>1E-3</c:v>
                </c:pt>
                <c:pt idx="16">
                  <c:v>1E-3</c:v>
                </c:pt>
                <c:pt idx="17">
                  <c:v>1E-3</c:v>
                </c:pt>
                <c:pt idx="18">
                  <c:v>1E-3</c:v>
                </c:pt>
                <c:pt idx="19">
                  <c:v>1E-3</c:v>
                </c:pt>
                <c:pt idx="20">
                  <c:v>1E-3</c:v>
                </c:pt>
                <c:pt idx="21">
                  <c:v>1E-3</c:v>
                </c:pt>
                <c:pt idx="22">
                  <c:v>1E-3</c:v>
                </c:pt>
                <c:pt idx="23">
                  <c:v>1E-3</c:v>
                </c:pt>
                <c:pt idx="24">
                  <c:v>1E-3</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dLbls>
          <c:showLegendKey val="0"/>
          <c:showVal val="0"/>
          <c:showCatName val="0"/>
          <c:showSerName val="0"/>
          <c:showPercent val="0"/>
          <c:showBubbleSize val="0"/>
        </c:dLbls>
        <c:axId val="-898139904"/>
        <c:axId val="-898139360"/>
      </c:scatterChart>
      <c:valAx>
        <c:axId val="-898139904"/>
        <c:scaling>
          <c:orientation val="minMax"/>
        </c:scaling>
        <c:delete val="0"/>
        <c:axPos val="b"/>
        <c:title>
          <c:tx>
            <c:rich>
              <a:bodyPr/>
              <a:lstStyle/>
              <a:p>
                <a:pPr>
                  <a:defRPr sz="1000" b="0" baseline="0"/>
                </a:pPr>
                <a:r>
                  <a:rPr lang="zh-CN" altLang="en-US" sz="1000" b="0" baseline="0"/>
                  <a:t>层间位移角</a:t>
                </a:r>
              </a:p>
            </c:rich>
          </c:tx>
          <c:layout>
            <c:manualLayout>
              <c:xMode val="edge"/>
              <c:yMode val="edge"/>
              <c:x val="0.34462268300179105"/>
              <c:y val="0.92716793052772328"/>
            </c:manualLayout>
          </c:layout>
          <c:overlay val="0"/>
        </c:title>
        <c:numFmt formatCode="General" sourceLinked="1"/>
        <c:majorTickMark val="out"/>
        <c:minorTickMark val="none"/>
        <c:tickLblPos val="nextTo"/>
        <c:crossAx val="-898139360"/>
        <c:crosses val="autoZero"/>
        <c:crossBetween val="midCat"/>
      </c:valAx>
      <c:valAx>
        <c:axId val="-898139360"/>
        <c:scaling>
          <c:orientation val="minMax"/>
        </c:scaling>
        <c:delete val="0"/>
        <c:axPos val="l"/>
        <c:majorGridlines/>
        <c:title>
          <c:tx>
            <c:rich>
              <a:bodyPr rot="-5400000" vert="horz"/>
              <a:lstStyle/>
              <a:p>
                <a:pPr>
                  <a:defRPr sz="1000" b="0">
                    <a:latin typeface="Adobe 仿宋 Std R" pitchFamily="18" charset="-122"/>
                    <a:ea typeface="Adobe 仿宋 Std R" pitchFamily="18" charset="-122"/>
                  </a:defRPr>
                </a:pPr>
                <a:r>
                  <a:rPr lang="zh-CN" altLang="en-US" sz="1000" b="0">
                    <a:latin typeface="Adobe 仿宋 Std R" pitchFamily="18" charset="-122"/>
                    <a:ea typeface="Adobe 仿宋 Std R" pitchFamily="18" charset="-122"/>
                  </a:rPr>
                  <a:t>楼层</a:t>
                </a:r>
              </a:p>
            </c:rich>
          </c:tx>
          <c:overlay val="0"/>
        </c:title>
        <c:numFmt formatCode="General" sourceLinked="1"/>
        <c:majorTickMark val="out"/>
        <c:minorTickMark val="none"/>
        <c:tickLblPos val="nextTo"/>
        <c:crossAx val="-898139904"/>
        <c:crosses val="autoZero"/>
        <c:crossBetween val="midCat"/>
      </c:valAx>
    </c:plotArea>
    <c:legend>
      <c:legendPos val="r"/>
      <c:layout>
        <c:manualLayout>
          <c:xMode val="edge"/>
          <c:yMode val="edge"/>
          <c:x val="0.62869207720716325"/>
          <c:y val="0.37743465459637199"/>
          <c:w val="0.34028011985227508"/>
          <c:h val="0.37801785854549314"/>
        </c:manualLayout>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777886113377915"/>
          <c:y val="5.1400554097404488E-2"/>
          <c:w val="0.53572938996331732"/>
          <c:h val="0.78125591994919563"/>
        </c:manualLayout>
      </c:layout>
      <c:scatterChart>
        <c:scatterStyle val="lineMarker"/>
        <c:varyColors val="0"/>
        <c:ser>
          <c:idx val="2"/>
          <c:order val="2"/>
          <c:tx>
            <c:strRef>
              <c:f>'A1'!$M$2</c:f>
              <c:strCache>
                <c:ptCount val="1"/>
                <c:pt idx="0">
                  <c:v>规范参考限值</c:v>
                </c:pt>
              </c:strCache>
            </c:strRef>
          </c:tx>
          <c:spPr>
            <a:ln w="12700">
              <a:solidFill>
                <a:srgbClr val="00B0F0"/>
              </a:solidFill>
            </a:ln>
          </c:spPr>
          <c:marker>
            <c:symbol val="star"/>
            <c:size val="5"/>
            <c:spPr>
              <a:ln>
                <a:solidFill>
                  <a:srgbClr val="00B0F0"/>
                </a:solidFill>
              </a:ln>
            </c:spPr>
          </c:marker>
          <c:xVal>
            <c:numRef>
              <c:f>'A1'!$M$8:$M$32</c:f>
              <c:numCache>
                <c:formatCode>General</c:formatCode>
                <c:ptCount val="25"/>
                <c:pt idx="0">
                  <c:v>4.0000000000000001E-3</c:v>
                </c:pt>
                <c:pt idx="1">
                  <c:v>4.0000000000000001E-3</c:v>
                </c:pt>
                <c:pt idx="2">
                  <c:v>4.0000000000000001E-3</c:v>
                </c:pt>
                <c:pt idx="3">
                  <c:v>4.0000000000000001E-3</c:v>
                </c:pt>
                <c:pt idx="4">
                  <c:v>4.0000000000000001E-3</c:v>
                </c:pt>
                <c:pt idx="5">
                  <c:v>4.0000000000000001E-3</c:v>
                </c:pt>
                <c:pt idx="6">
                  <c:v>4.0000000000000001E-3</c:v>
                </c:pt>
                <c:pt idx="7">
                  <c:v>4.0000000000000001E-3</c:v>
                </c:pt>
                <c:pt idx="8">
                  <c:v>4.0000000000000001E-3</c:v>
                </c:pt>
                <c:pt idx="9">
                  <c:v>4.0000000000000001E-3</c:v>
                </c:pt>
                <c:pt idx="10">
                  <c:v>4.0000000000000001E-3</c:v>
                </c:pt>
                <c:pt idx="11">
                  <c:v>4.0000000000000001E-3</c:v>
                </c:pt>
                <c:pt idx="12">
                  <c:v>4.0000000000000001E-3</c:v>
                </c:pt>
                <c:pt idx="13">
                  <c:v>4.0000000000000001E-3</c:v>
                </c:pt>
                <c:pt idx="14">
                  <c:v>4.0000000000000001E-3</c:v>
                </c:pt>
                <c:pt idx="15">
                  <c:v>4.0000000000000001E-3</c:v>
                </c:pt>
                <c:pt idx="16">
                  <c:v>4.0000000000000001E-3</c:v>
                </c:pt>
                <c:pt idx="17">
                  <c:v>4.0000000000000001E-3</c:v>
                </c:pt>
                <c:pt idx="18">
                  <c:v>4.0000000000000001E-3</c:v>
                </c:pt>
                <c:pt idx="19">
                  <c:v>4.0000000000000001E-3</c:v>
                </c:pt>
                <c:pt idx="20">
                  <c:v>4.0000000000000001E-3</c:v>
                </c:pt>
                <c:pt idx="21">
                  <c:v>2E-3</c:v>
                </c:pt>
                <c:pt idx="22">
                  <c:v>2E-3</c:v>
                </c:pt>
                <c:pt idx="23">
                  <c:v>2E-3</c:v>
                </c:pt>
                <c:pt idx="24">
                  <c:v>2E-3</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0"/>
        </c:ser>
        <c:dLbls>
          <c:showLegendKey val="0"/>
          <c:showVal val="0"/>
          <c:showCatName val="0"/>
          <c:showSerName val="0"/>
          <c:showPercent val="0"/>
          <c:showBubbleSize val="0"/>
        </c:dLbls>
        <c:axId val="-898144256"/>
        <c:axId val="-898143168"/>
      </c:scatterChart>
      <c:scatterChart>
        <c:scatterStyle val="smoothMarker"/>
        <c:varyColors val="0"/>
        <c:ser>
          <c:idx val="0"/>
          <c:order val="0"/>
          <c:tx>
            <c:strRef>
              <c:f>'A1'!$I$2</c:f>
              <c:strCache>
                <c:ptCount val="1"/>
                <c:pt idx="0">
                  <c:v>YJK-EX</c:v>
                </c:pt>
              </c:strCache>
            </c:strRef>
          </c:tx>
          <c:spPr>
            <a:ln w="12700"/>
          </c:spPr>
          <c:marker>
            <c:symbol val="diamond"/>
            <c:size val="5"/>
          </c:marker>
          <c:xVal>
            <c:numRef>
              <c:f>'A1'!$I$8:$I$32</c:f>
              <c:numCache>
                <c:formatCode>General</c:formatCode>
                <c:ptCount val="25"/>
                <c:pt idx="0">
                  <c:v>1.5822784810126582E-3</c:v>
                </c:pt>
                <c:pt idx="1">
                  <c:v>1.6722408026755853E-3</c:v>
                </c:pt>
                <c:pt idx="2">
                  <c:v>1.7513134851138354E-3</c:v>
                </c:pt>
                <c:pt idx="3">
                  <c:v>1.834862385321101E-3</c:v>
                </c:pt>
                <c:pt idx="4">
                  <c:v>1.9157088122605363E-3</c:v>
                </c:pt>
                <c:pt idx="5">
                  <c:v>2.004008016032064E-3</c:v>
                </c:pt>
                <c:pt idx="6">
                  <c:v>2.0790020790020791E-3</c:v>
                </c:pt>
                <c:pt idx="7">
                  <c:v>2.1459227467811159E-3</c:v>
                </c:pt>
                <c:pt idx="8">
                  <c:v>2.2172949002217295E-3</c:v>
                </c:pt>
                <c:pt idx="9">
                  <c:v>2.2624434389140274E-3</c:v>
                </c:pt>
                <c:pt idx="10">
                  <c:v>2.304147465437788E-3</c:v>
                </c:pt>
                <c:pt idx="11">
                  <c:v>2.3584905660377358E-3</c:v>
                </c:pt>
                <c:pt idx="12">
                  <c:v>2.3923444976076554E-3</c:v>
                </c:pt>
                <c:pt idx="13">
                  <c:v>2.4096385542168677E-3</c:v>
                </c:pt>
                <c:pt idx="14">
                  <c:v>2.4390243902439024E-3</c:v>
                </c:pt>
                <c:pt idx="15">
                  <c:v>2.4449877750611247E-3</c:v>
                </c:pt>
                <c:pt idx="16">
                  <c:v>2.4330900243309003E-3</c:v>
                </c:pt>
                <c:pt idx="17">
                  <c:v>2.4154589371980675E-3</c:v>
                </c:pt>
                <c:pt idx="18">
                  <c:v>2.3584905660377358E-3</c:v>
                </c:pt>
                <c:pt idx="19">
                  <c:v>2.2727272727272726E-3</c:v>
                </c:pt>
                <c:pt idx="20">
                  <c:v>2.1505376344086021E-3</c:v>
                </c:pt>
                <c:pt idx="21">
                  <c:v>1.9646365422396855E-3</c:v>
                </c:pt>
                <c:pt idx="22">
                  <c:v>1.6750418760469012E-3</c:v>
                </c:pt>
                <c:pt idx="23">
                  <c:v>1.2515644555694619E-3</c:v>
                </c:pt>
                <c:pt idx="24">
                  <c:v>9.4073377234242712E-4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ser>
          <c:idx val="1"/>
          <c:order val="1"/>
          <c:tx>
            <c:strRef>
              <c:f>'A1'!$J$2</c:f>
              <c:strCache>
                <c:ptCount val="1"/>
                <c:pt idx="0">
                  <c:v>YJK-EY</c:v>
                </c:pt>
              </c:strCache>
            </c:strRef>
          </c:tx>
          <c:spPr>
            <a:ln w="12700"/>
          </c:spPr>
          <c:marker>
            <c:symbol val="square"/>
            <c:size val="4"/>
          </c:marker>
          <c:xVal>
            <c:numRef>
              <c:f>'A1'!$J$8:$J$32</c:f>
              <c:numCache>
                <c:formatCode>General</c:formatCode>
                <c:ptCount val="25"/>
                <c:pt idx="0">
                  <c:v>2.2075055187637969E-3</c:v>
                </c:pt>
                <c:pt idx="1">
                  <c:v>2.2371364653243847E-3</c:v>
                </c:pt>
                <c:pt idx="2">
                  <c:v>2.2831050228310501E-3</c:v>
                </c:pt>
                <c:pt idx="3">
                  <c:v>2.3201856148491878E-3</c:v>
                </c:pt>
                <c:pt idx="4">
                  <c:v>2.352941176470588E-3</c:v>
                </c:pt>
                <c:pt idx="5">
                  <c:v>2.3752969121140144E-3</c:v>
                </c:pt>
                <c:pt idx="6">
                  <c:v>2.3923444976076554E-3</c:v>
                </c:pt>
                <c:pt idx="7">
                  <c:v>2.403846153846154E-3</c:v>
                </c:pt>
                <c:pt idx="8">
                  <c:v>2.3980815347721821E-3</c:v>
                </c:pt>
                <c:pt idx="9">
                  <c:v>2.3866348448687352E-3</c:v>
                </c:pt>
                <c:pt idx="10">
                  <c:v>2.3752969121140144E-3</c:v>
                </c:pt>
                <c:pt idx="11">
                  <c:v>2.3474178403755869E-3</c:v>
                </c:pt>
                <c:pt idx="12">
                  <c:v>2.3148148148148147E-3</c:v>
                </c:pt>
                <c:pt idx="13">
                  <c:v>2.2727272727272726E-3</c:v>
                </c:pt>
                <c:pt idx="14">
                  <c:v>2.2271714922048997E-3</c:v>
                </c:pt>
                <c:pt idx="15">
                  <c:v>2.1691973969631237E-3</c:v>
                </c:pt>
                <c:pt idx="16">
                  <c:v>2.1008403361344537E-3</c:v>
                </c:pt>
                <c:pt idx="17">
                  <c:v>2.0161290322580645E-3</c:v>
                </c:pt>
                <c:pt idx="18">
                  <c:v>1.9157088122605363E-3</c:v>
                </c:pt>
                <c:pt idx="19">
                  <c:v>1.8018018018018018E-3</c:v>
                </c:pt>
                <c:pt idx="20">
                  <c:v>1.6447368421052631E-3</c:v>
                </c:pt>
                <c:pt idx="21">
                  <c:v>1.4684287812041115E-3</c:v>
                </c:pt>
                <c:pt idx="22">
                  <c:v>1.2376237623762376E-3</c:v>
                </c:pt>
                <c:pt idx="23">
                  <c:v>9.3808630393996248E-4</c:v>
                </c:pt>
                <c:pt idx="24">
                  <c:v>6.8917987594762232E-4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dLbls>
          <c:showLegendKey val="0"/>
          <c:showVal val="0"/>
          <c:showCatName val="0"/>
          <c:showSerName val="0"/>
          <c:showPercent val="0"/>
          <c:showBubbleSize val="0"/>
        </c:dLbls>
        <c:axId val="-898144256"/>
        <c:axId val="-898143168"/>
      </c:scatterChart>
      <c:valAx>
        <c:axId val="-898144256"/>
        <c:scaling>
          <c:orientation val="minMax"/>
        </c:scaling>
        <c:delete val="0"/>
        <c:axPos val="b"/>
        <c:title>
          <c:tx>
            <c:rich>
              <a:bodyPr/>
              <a:lstStyle/>
              <a:p>
                <a:pPr>
                  <a:defRPr sz="1000" b="0"/>
                </a:pPr>
                <a:r>
                  <a:rPr lang="zh-CN" altLang="en-US" sz="1000" b="0"/>
                  <a:t>层间位移角</a:t>
                </a:r>
              </a:p>
            </c:rich>
          </c:tx>
          <c:layout>
            <c:manualLayout>
              <c:xMode val="edge"/>
              <c:yMode val="edge"/>
              <c:x val="0.34462268300179105"/>
              <c:y val="0.92716793052772328"/>
            </c:manualLayout>
          </c:layout>
          <c:overlay val="0"/>
        </c:title>
        <c:numFmt formatCode="General" sourceLinked="1"/>
        <c:majorTickMark val="out"/>
        <c:minorTickMark val="none"/>
        <c:tickLblPos val="nextTo"/>
        <c:crossAx val="-898143168"/>
        <c:crosses val="autoZero"/>
        <c:crossBetween val="midCat"/>
      </c:valAx>
      <c:valAx>
        <c:axId val="-898143168"/>
        <c:scaling>
          <c:orientation val="minMax"/>
        </c:scaling>
        <c:delete val="0"/>
        <c:axPos val="l"/>
        <c:majorGridlines/>
        <c:title>
          <c:tx>
            <c:rich>
              <a:bodyPr rot="-5400000" vert="horz"/>
              <a:lstStyle/>
              <a:p>
                <a:pPr>
                  <a:defRPr sz="1000" b="0">
                    <a:latin typeface="Adobe 仿宋 Std R" pitchFamily="18" charset="-122"/>
                    <a:ea typeface="Adobe 仿宋 Std R" pitchFamily="18" charset="-122"/>
                  </a:defRPr>
                </a:pPr>
                <a:r>
                  <a:rPr lang="zh-CN" altLang="en-US" sz="1000" b="0">
                    <a:latin typeface="Adobe 仿宋 Std R" pitchFamily="18" charset="-122"/>
                    <a:ea typeface="Adobe 仿宋 Std R" pitchFamily="18" charset="-122"/>
                  </a:rPr>
                  <a:t>楼层</a:t>
                </a:r>
              </a:p>
            </c:rich>
          </c:tx>
          <c:overlay val="0"/>
        </c:title>
        <c:numFmt formatCode="General" sourceLinked="1"/>
        <c:majorTickMark val="out"/>
        <c:minorTickMark val="none"/>
        <c:tickLblPos val="nextTo"/>
        <c:crossAx val="-898144256"/>
        <c:crosses val="autoZero"/>
        <c:crossBetween val="midCat"/>
      </c:valAx>
    </c:plotArea>
    <c:legend>
      <c:legendPos val="r"/>
      <c:layout>
        <c:manualLayout>
          <c:xMode val="edge"/>
          <c:yMode val="edge"/>
          <c:x val="0.61789561703017215"/>
          <c:y val="0.36455219413362805"/>
          <c:w val="0.37458899495970083"/>
          <c:h val="0.41816763900736631"/>
        </c:manualLayout>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777886113377915"/>
          <c:y val="5.1400554097404488E-2"/>
          <c:w val="0.53572938996331732"/>
          <c:h val="0.78125591994919563"/>
        </c:manualLayout>
      </c:layout>
      <c:scatterChart>
        <c:scatterStyle val="lineMarker"/>
        <c:varyColors val="0"/>
        <c:ser>
          <c:idx val="2"/>
          <c:order val="2"/>
          <c:tx>
            <c:strRef>
              <c:f>'A1'!$M$2</c:f>
              <c:strCache>
                <c:ptCount val="1"/>
                <c:pt idx="0">
                  <c:v>规范参考限值</c:v>
                </c:pt>
              </c:strCache>
            </c:strRef>
          </c:tx>
          <c:spPr>
            <a:ln w="12700">
              <a:solidFill>
                <a:srgbClr val="00B0F0"/>
              </a:solidFill>
            </a:ln>
          </c:spPr>
          <c:marker>
            <c:symbol val="star"/>
            <c:size val="5"/>
            <c:spPr>
              <a:ln>
                <a:solidFill>
                  <a:srgbClr val="00B0F0"/>
                </a:solidFill>
              </a:ln>
            </c:spPr>
          </c:marker>
          <c:xVal>
            <c:numRef>
              <c:f>'A1'!$M$8:$M$32</c:f>
              <c:numCache>
                <c:formatCode>General</c:formatCode>
                <c:ptCount val="25"/>
                <c:pt idx="0">
                  <c:v>7.4074074074074077E-3</c:v>
                </c:pt>
                <c:pt idx="1">
                  <c:v>7.4074074074074077E-3</c:v>
                </c:pt>
                <c:pt idx="2">
                  <c:v>7.4074074074074077E-3</c:v>
                </c:pt>
                <c:pt idx="3">
                  <c:v>7.4074074074074077E-3</c:v>
                </c:pt>
                <c:pt idx="4">
                  <c:v>7.4074074074074077E-3</c:v>
                </c:pt>
                <c:pt idx="5">
                  <c:v>7.4074074074074077E-3</c:v>
                </c:pt>
                <c:pt idx="6">
                  <c:v>7.4074074074074077E-3</c:v>
                </c:pt>
                <c:pt idx="7">
                  <c:v>7.4074074074074077E-3</c:v>
                </c:pt>
                <c:pt idx="8">
                  <c:v>7.4074074074074077E-3</c:v>
                </c:pt>
                <c:pt idx="9">
                  <c:v>7.4074074074074077E-3</c:v>
                </c:pt>
                <c:pt idx="10">
                  <c:v>7.4074074074074077E-3</c:v>
                </c:pt>
                <c:pt idx="11">
                  <c:v>7.4074074074074077E-3</c:v>
                </c:pt>
                <c:pt idx="12">
                  <c:v>7.4074074074074077E-3</c:v>
                </c:pt>
                <c:pt idx="13">
                  <c:v>7.4074074074074077E-3</c:v>
                </c:pt>
                <c:pt idx="14">
                  <c:v>7.4074074074074077E-3</c:v>
                </c:pt>
                <c:pt idx="15">
                  <c:v>7.4074074074074077E-3</c:v>
                </c:pt>
                <c:pt idx="16">
                  <c:v>7.4074074074074077E-3</c:v>
                </c:pt>
                <c:pt idx="17">
                  <c:v>7.4074074074074077E-3</c:v>
                </c:pt>
                <c:pt idx="18">
                  <c:v>7.4074074074074077E-3</c:v>
                </c:pt>
                <c:pt idx="19">
                  <c:v>7.4074074074074077E-3</c:v>
                </c:pt>
                <c:pt idx="20">
                  <c:v>7.4074074074074077E-3</c:v>
                </c:pt>
                <c:pt idx="21">
                  <c:v>7.4074074074074077E-3</c:v>
                </c:pt>
                <c:pt idx="22">
                  <c:v>7.4074074074074077E-3</c:v>
                </c:pt>
                <c:pt idx="23">
                  <c:v>7.4074074074074077E-3</c:v>
                </c:pt>
                <c:pt idx="24">
                  <c:v>7.4074074074074077E-3</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0"/>
        </c:ser>
        <c:dLbls>
          <c:showLegendKey val="0"/>
          <c:showVal val="0"/>
          <c:showCatName val="0"/>
          <c:showSerName val="0"/>
          <c:showPercent val="0"/>
          <c:showBubbleSize val="0"/>
        </c:dLbls>
        <c:axId val="-965784816"/>
        <c:axId val="-965784272"/>
      </c:scatterChart>
      <c:scatterChart>
        <c:scatterStyle val="smoothMarker"/>
        <c:varyColors val="0"/>
        <c:ser>
          <c:idx val="0"/>
          <c:order val="0"/>
          <c:tx>
            <c:strRef>
              <c:f>'A1'!$I$2</c:f>
              <c:strCache>
                <c:ptCount val="1"/>
                <c:pt idx="0">
                  <c:v>YJK-EX</c:v>
                </c:pt>
              </c:strCache>
            </c:strRef>
          </c:tx>
          <c:spPr>
            <a:ln w="12700"/>
          </c:spPr>
          <c:marker>
            <c:symbol val="diamond"/>
            <c:size val="5"/>
          </c:marker>
          <c:xVal>
            <c:numRef>
              <c:f>'A1'!$I$8:$I$32</c:f>
              <c:numCache>
                <c:formatCode>General</c:formatCode>
                <c:ptCount val="25"/>
                <c:pt idx="0">
                  <c:v>3.5587188612099642E-3</c:v>
                </c:pt>
                <c:pt idx="1">
                  <c:v>3.7313432835820895E-3</c:v>
                </c:pt>
                <c:pt idx="2">
                  <c:v>3.8461538461538464E-3</c:v>
                </c:pt>
                <c:pt idx="3">
                  <c:v>4.0322580645161289E-3</c:v>
                </c:pt>
                <c:pt idx="4">
                  <c:v>4.2194092827004216E-3</c:v>
                </c:pt>
                <c:pt idx="5">
                  <c:v>4.4247787610619468E-3</c:v>
                </c:pt>
                <c:pt idx="6">
                  <c:v>4.608294930875576E-3</c:v>
                </c:pt>
                <c:pt idx="7">
                  <c:v>4.7619047619047623E-3</c:v>
                </c:pt>
                <c:pt idx="8">
                  <c:v>4.9019607843137254E-3</c:v>
                </c:pt>
                <c:pt idx="9">
                  <c:v>5.0505050505050509E-3</c:v>
                </c:pt>
                <c:pt idx="10">
                  <c:v>5.1546391752577319E-3</c:v>
                </c:pt>
                <c:pt idx="11">
                  <c:v>5.235602094240838E-3</c:v>
                </c:pt>
                <c:pt idx="12">
                  <c:v>5.2910052910052907E-3</c:v>
                </c:pt>
                <c:pt idx="13">
                  <c:v>5.3191489361702126E-3</c:v>
                </c:pt>
                <c:pt idx="14">
                  <c:v>5.2910052910052907E-3</c:v>
                </c:pt>
                <c:pt idx="15">
                  <c:v>5.208333333333333E-3</c:v>
                </c:pt>
                <c:pt idx="16">
                  <c:v>5.0000000000000001E-3</c:v>
                </c:pt>
                <c:pt idx="17">
                  <c:v>4.8543689320388345E-3</c:v>
                </c:pt>
                <c:pt idx="18">
                  <c:v>4.6948356807511738E-3</c:v>
                </c:pt>
                <c:pt idx="19">
                  <c:v>4.4444444444444444E-3</c:v>
                </c:pt>
                <c:pt idx="20">
                  <c:v>4.0322580645161289E-3</c:v>
                </c:pt>
                <c:pt idx="21">
                  <c:v>3.472222222222222E-3</c:v>
                </c:pt>
                <c:pt idx="22">
                  <c:v>2.6666666666666666E-3</c:v>
                </c:pt>
                <c:pt idx="23">
                  <c:v>1.4858841010401188E-3</c:v>
                </c:pt>
                <c:pt idx="24">
                  <c:v>7.1633237822349568E-4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ser>
          <c:idx val="1"/>
          <c:order val="1"/>
          <c:tx>
            <c:strRef>
              <c:f>'A1'!$J$2</c:f>
              <c:strCache>
                <c:ptCount val="1"/>
                <c:pt idx="0">
                  <c:v>YJK-EY</c:v>
                </c:pt>
              </c:strCache>
            </c:strRef>
          </c:tx>
          <c:spPr>
            <a:ln w="12700"/>
          </c:spPr>
          <c:marker>
            <c:symbol val="square"/>
            <c:size val="4"/>
          </c:marker>
          <c:xVal>
            <c:numRef>
              <c:f>'A1'!$J$8:$J$32</c:f>
              <c:numCache>
                <c:formatCode>General</c:formatCode>
                <c:ptCount val="25"/>
                <c:pt idx="0">
                  <c:v>4.830917874396135E-3</c:v>
                </c:pt>
                <c:pt idx="1">
                  <c:v>4.9504950495049506E-3</c:v>
                </c:pt>
                <c:pt idx="2">
                  <c:v>5.1020408163265302E-3</c:v>
                </c:pt>
                <c:pt idx="3">
                  <c:v>5.235602094240838E-3</c:v>
                </c:pt>
                <c:pt idx="4">
                  <c:v>5.3763440860215058E-3</c:v>
                </c:pt>
                <c:pt idx="5">
                  <c:v>5.5248618784530384E-3</c:v>
                </c:pt>
                <c:pt idx="6">
                  <c:v>5.6179775280898875E-3</c:v>
                </c:pt>
                <c:pt idx="7">
                  <c:v>5.7142857142857143E-3</c:v>
                </c:pt>
                <c:pt idx="8">
                  <c:v>5.7803468208092483E-3</c:v>
                </c:pt>
                <c:pt idx="9">
                  <c:v>5.8479532163742687E-3</c:v>
                </c:pt>
                <c:pt idx="10">
                  <c:v>5.8823529411764705E-3</c:v>
                </c:pt>
                <c:pt idx="11">
                  <c:v>5.8823529411764705E-3</c:v>
                </c:pt>
                <c:pt idx="12">
                  <c:v>5.8823529411764705E-3</c:v>
                </c:pt>
                <c:pt idx="13">
                  <c:v>5.8823529411764705E-3</c:v>
                </c:pt>
                <c:pt idx="14">
                  <c:v>5.8139534883720929E-3</c:v>
                </c:pt>
                <c:pt idx="15">
                  <c:v>5.7471264367816091E-3</c:v>
                </c:pt>
                <c:pt idx="16">
                  <c:v>5.6179775280898875E-3</c:v>
                </c:pt>
                <c:pt idx="17">
                  <c:v>5.4644808743169399E-3</c:v>
                </c:pt>
                <c:pt idx="18">
                  <c:v>5.208333333333333E-3</c:v>
                </c:pt>
                <c:pt idx="19">
                  <c:v>4.8543689320388345E-3</c:v>
                </c:pt>
                <c:pt idx="20">
                  <c:v>4.3859649122807015E-3</c:v>
                </c:pt>
                <c:pt idx="21">
                  <c:v>3.7174721189591076E-3</c:v>
                </c:pt>
                <c:pt idx="22">
                  <c:v>2.7932960893854749E-3</c:v>
                </c:pt>
                <c:pt idx="23">
                  <c:v>1.6891891891891893E-3</c:v>
                </c:pt>
                <c:pt idx="24">
                  <c:v>7.9681274900398409E-4</c:v>
                </c:pt>
              </c:numCache>
            </c:numRef>
          </c:xVal>
          <c:yVal>
            <c:numRef>
              <c:f>'A1'!$H$8:$H$32</c:f>
              <c:numCache>
                <c:formatCode>General</c:formatCode>
                <c:ptCount val="25"/>
                <c:pt idx="0">
                  <c:v>25</c:v>
                </c:pt>
                <c:pt idx="1">
                  <c:v>24</c:v>
                </c:pt>
                <c:pt idx="2">
                  <c:v>23</c:v>
                </c:pt>
                <c:pt idx="3">
                  <c:v>22</c:v>
                </c:pt>
                <c:pt idx="4">
                  <c:v>21</c:v>
                </c:pt>
                <c:pt idx="5">
                  <c:v>20</c:v>
                </c:pt>
                <c:pt idx="6">
                  <c:v>19</c:v>
                </c:pt>
                <c:pt idx="7">
                  <c:v>18</c:v>
                </c:pt>
                <c:pt idx="8">
                  <c:v>17</c:v>
                </c:pt>
                <c:pt idx="9">
                  <c:v>16</c:v>
                </c:pt>
                <c:pt idx="10">
                  <c:v>15</c:v>
                </c:pt>
                <c:pt idx="11">
                  <c:v>14</c:v>
                </c:pt>
                <c:pt idx="12">
                  <c:v>13</c:v>
                </c:pt>
                <c:pt idx="13">
                  <c:v>12</c:v>
                </c:pt>
                <c:pt idx="14">
                  <c:v>11</c:v>
                </c:pt>
                <c:pt idx="15">
                  <c:v>10</c:v>
                </c:pt>
                <c:pt idx="16">
                  <c:v>9</c:v>
                </c:pt>
                <c:pt idx="17">
                  <c:v>8</c:v>
                </c:pt>
                <c:pt idx="18">
                  <c:v>7</c:v>
                </c:pt>
                <c:pt idx="19">
                  <c:v>6</c:v>
                </c:pt>
                <c:pt idx="20">
                  <c:v>5</c:v>
                </c:pt>
                <c:pt idx="21">
                  <c:v>4</c:v>
                </c:pt>
                <c:pt idx="22">
                  <c:v>3</c:v>
                </c:pt>
                <c:pt idx="23">
                  <c:v>2</c:v>
                </c:pt>
                <c:pt idx="24">
                  <c:v>1</c:v>
                </c:pt>
              </c:numCache>
            </c:numRef>
          </c:yVal>
          <c:smooth val="1"/>
        </c:ser>
        <c:dLbls>
          <c:showLegendKey val="0"/>
          <c:showVal val="0"/>
          <c:showCatName val="0"/>
          <c:showSerName val="0"/>
          <c:showPercent val="0"/>
          <c:showBubbleSize val="0"/>
        </c:dLbls>
        <c:axId val="-965784816"/>
        <c:axId val="-965784272"/>
      </c:scatterChart>
      <c:valAx>
        <c:axId val="-965784816"/>
        <c:scaling>
          <c:orientation val="minMax"/>
        </c:scaling>
        <c:delete val="0"/>
        <c:axPos val="b"/>
        <c:title>
          <c:tx>
            <c:rich>
              <a:bodyPr/>
              <a:lstStyle/>
              <a:p>
                <a:pPr>
                  <a:defRPr sz="1000" b="0"/>
                </a:pPr>
                <a:r>
                  <a:rPr lang="zh-CN" altLang="en-US" sz="1000" b="0"/>
                  <a:t>层间位移角</a:t>
                </a:r>
              </a:p>
            </c:rich>
          </c:tx>
          <c:layout>
            <c:manualLayout>
              <c:xMode val="edge"/>
              <c:yMode val="edge"/>
              <c:x val="0.34462268300179105"/>
              <c:y val="0.92716793052772328"/>
            </c:manualLayout>
          </c:layout>
          <c:overlay val="0"/>
        </c:title>
        <c:numFmt formatCode="General" sourceLinked="1"/>
        <c:majorTickMark val="out"/>
        <c:minorTickMark val="none"/>
        <c:tickLblPos val="nextTo"/>
        <c:crossAx val="-965784272"/>
        <c:crosses val="autoZero"/>
        <c:crossBetween val="midCat"/>
      </c:valAx>
      <c:valAx>
        <c:axId val="-965784272"/>
        <c:scaling>
          <c:orientation val="minMax"/>
        </c:scaling>
        <c:delete val="0"/>
        <c:axPos val="l"/>
        <c:majorGridlines/>
        <c:title>
          <c:tx>
            <c:rich>
              <a:bodyPr rot="-5400000" vert="horz"/>
              <a:lstStyle/>
              <a:p>
                <a:pPr>
                  <a:defRPr sz="1000" b="0">
                    <a:latin typeface="Adobe 仿宋 Std R" pitchFamily="18" charset="-122"/>
                    <a:ea typeface="Adobe 仿宋 Std R" pitchFamily="18" charset="-122"/>
                  </a:defRPr>
                </a:pPr>
                <a:r>
                  <a:rPr lang="zh-CN" altLang="en-US" sz="1000" b="0">
                    <a:latin typeface="Adobe 仿宋 Std R" pitchFamily="18" charset="-122"/>
                    <a:ea typeface="Adobe 仿宋 Std R" pitchFamily="18" charset="-122"/>
                  </a:rPr>
                  <a:t>楼层</a:t>
                </a:r>
              </a:p>
            </c:rich>
          </c:tx>
          <c:overlay val="0"/>
        </c:title>
        <c:numFmt formatCode="General" sourceLinked="1"/>
        <c:majorTickMark val="out"/>
        <c:minorTickMark val="none"/>
        <c:tickLblPos val="nextTo"/>
        <c:crossAx val="-965784816"/>
        <c:crosses val="autoZero"/>
        <c:crossBetween val="midCat"/>
      </c:valAx>
    </c:plotArea>
    <c:legend>
      <c:legendPos val="r"/>
      <c:layout>
        <c:manualLayout>
          <c:xMode val="edge"/>
          <c:yMode val="edge"/>
          <c:x val="0.6189920801384543"/>
          <c:y val="0.34653457022564504"/>
          <c:w val="0.33917740972033666"/>
          <c:h val="0.41580245711769875"/>
        </c:manualLayout>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1053948803513"/>
          <c:y val="0.10264514689421614"/>
          <c:w val="0.82250163258468068"/>
          <c:h val="0.71947685456056321"/>
        </c:manualLayout>
      </c:layout>
      <c:scatterChart>
        <c:scatterStyle val="lineMarker"/>
        <c:varyColors val="0"/>
        <c:ser>
          <c:idx val="0"/>
          <c:order val="0"/>
          <c:tx>
            <c:strRef>
              <c:f>Y向顶点时程曲线!$B$1</c:f>
              <c:strCache>
                <c:ptCount val="1"/>
                <c:pt idx="0">
                  <c:v>TRB2-UY-弹塑性</c:v>
                </c:pt>
              </c:strCache>
            </c:strRef>
          </c:tx>
          <c:spPr>
            <a:ln w="12700" cap="rnd">
              <a:solidFill>
                <a:schemeClr val="accent1"/>
              </a:solidFill>
              <a:prstDash val="sysDash"/>
              <a:round/>
            </a:ln>
            <a:effectLst/>
          </c:spPr>
          <c:marker>
            <c:symbol val="none"/>
          </c:marker>
          <c:xVal>
            <c:numRef>
              <c:f>Y向顶点时程曲线!$A$2:$A$298</c:f>
              <c:numCache>
                <c:formatCode>General</c:formatCode>
                <c:ptCount val="297"/>
                <c:pt idx="0">
                  <c:v>0.19</c:v>
                </c:pt>
                <c:pt idx="1">
                  <c:v>0.39</c:v>
                </c:pt>
                <c:pt idx="2">
                  <c:v>0.59</c:v>
                </c:pt>
                <c:pt idx="3">
                  <c:v>0.79</c:v>
                </c:pt>
                <c:pt idx="4">
                  <c:v>0.99</c:v>
                </c:pt>
                <c:pt idx="5">
                  <c:v>1.19</c:v>
                </c:pt>
                <c:pt idx="6">
                  <c:v>1.39</c:v>
                </c:pt>
                <c:pt idx="7">
                  <c:v>1.59</c:v>
                </c:pt>
                <c:pt idx="8">
                  <c:v>1.79</c:v>
                </c:pt>
                <c:pt idx="9">
                  <c:v>1.99</c:v>
                </c:pt>
                <c:pt idx="10">
                  <c:v>2.19</c:v>
                </c:pt>
                <c:pt idx="11">
                  <c:v>2.39</c:v>
                </c:pt>
                <c:pt idx="12">
                  <c:v>2.59</c:v>
                </c:pt>
                <c:pt idx="13">
                  <c:v>2.79</c:v>
                </c:pt>
                <c:pt idx="14">
                  <c:v>2.99</c:v>
                </c:pt>
                <c:pt idx="15">
                  <c:v>3.19</c:v>
                </c:pt>
                <c:pt idx="16">
                  <c:v>3.39</c:v>
                </c:pt>
                <c:pt idx="17">
                  <c:v>3.59</c:v>
                </c:pt>
                <c:pt idx="18">
                  <c:v>3.79</c:v>
                </c:pt>
                <c:pt idx="19">
                  <c:v>3.99</c:v>
                </c:pt>
                <c:pt idx="20">
                  <c:v>4.1900000000000004</c:v>
                </c:pt>
                <c:pt idx="21">
                  <c:v>4.3899999999999997</c:v>
                </c:pt>
                <c:pt idx="22">
                  <c:v>4.59</c:v>
                </c:pt>
                <c:pt idx="23">
                  <c:v>4.79</c:v>
                </c:pt>
                <c:pt idx="24">
                  <c:v>4.99</c:v>
                </c:pt>
                <c:pt idx="25">
                  <c:v>5.19</c:v>
                </c:pt>
                <c:pt idx="26">
                  <c:v>5.39</c:v>
                </c:pt>
                <c:pt idx="27">
                  <c:v>5.59</c:v>
                </c:pt>
                <c:pt idx="28">
                  <c:v>5.79</c:v>
                </c:pt>
                <c:pt idx="29">
                  <c:v>5.99</c:v>
                </c:pt>
                <c:pt idx="30">
                  <c:v>6.19</c:v>
                </c:pt>
                <c:pt idx="31">
                  <c:v>6.39</c:v>
                </c:pt>
                <c:pt idx="32">
                  <c:v>6.59</c:v>
                </c:pt>
                <c:pt idx="33">
                  <c:v>6.79</c:v>
                </c:pt>
                <c:pt idx="34">
                  <c:v>6.99</c:v>
                </c:pt>
                <c:pt idx="35">
                  <c:v>7.19</c:v>
                </c:pt>
                <c:pt idx="36">
                  <c:v>7.39</c:v>
                </c:pt>
                <c:pt idx="37">
                  <c:v>7.59</c:v>
                </c:pt>
                <c:pt idx="38">
                  <c:v>7.79</c:v>
                </c:pt>
                <c:pt idx="39">
                  <c:v>7.99</c:v>
                </c:pt>
                <c:pt idx="40">
                  <c:v>8.19</c:v>
                </c:pt>
                <c:pt idx="41">
                  <c:v>8.39</c:v>
                </c:pt>
                <c:pt idx="42">
                  <c:v>8.59</c:v>
                </c:pt>
                <c:pt idx="43">
                  <c:v>8.7899999999999991</c:v>
                </c:pt>
                <c:pt idx="44">
                  <c:v>8.99</c:v>
                </c:pt>
                <c:pt idx="45">
                  <c:v>9.19</c:v>
                </c:pt>
                <c:pt idx="46">
                  <c:v>9.39</c:v>
                </c:pt>
                <c:pt idx="47">
                  <c:v>9.59</c:v>
                </c:pt>
                <c:pt idx="48">
                  <c:v>9.7899999999999991</c:v>
                </c:pt>
                <c:pt idx="49">
                  <c:v>9.99</c:v>
                </c:pt>
                <c:pt idx="50">
                  <c:v>10.19</c:v>
                </c:pt>
                <c:pt idx="51">
                  <c:v>10.39</c:v>
                </c:pt>
                <c:pt idx="52">
                  <c:v>10.59</c:v>
                </c:pt>
                <c:pt idx="53">
                  <c:v>10.79</c:v>
                </c:pt>
                <c:pt idx="54">
                  <c:v>10.99</c:v>
                </c:pt>
                <c:pt idx="55">
                  <c:v>11.19</c:v>
                </c:pt>
                <c:pt idx="56">
                  <c:v>11.39</c:v>
                </c:pt>
                <c:pt idx="57">
                  <c:v>11.59</c:v>
                </c:pt>
                <c:pt idx="58">
                  <c:v>11.79</c:v>
                </c:pt>
                <c:pt idx="59">
                  <c:v>11.99</c:v>
                </c:pt>
                <c:pt idx="60">
                  <c:v>12.19</c:v>
                </c:pt>
                <c:pt idx="61">
                  <c:v>12.39</c:v>
                </c:pt>
                <c:pt idx="62">
                  <c:v>12.59</c:v>
                </c:pt>
                <c:pt idx="63">
                  <c:v>12.79</c:v>
                </c:pt>
                <c:pt idx="64">
                  <c:v>12.99</c:v>
                </c:pt>
                <c:pt idx="65">
                  <c:v>13.19</c:v>
                </c:pt>
                <c:pt idx="66">
                  <c:v>13.39</c:v>
                </c:pt>
                <c:pt idx="67">
                  <c:v>13.59</c:v>
                </c:pt>
                <c:pt idx="68">
                  <c:v>13.79</c:v>
                </c:pt>
                <c:pt idx="69">
                  <c:v>13.99</c:v>
                </c:pt>
                <c:pt idx="70">
                  <c:v>14.19</c:v>
                </c:pt>
                <c:pt idx="71">
                  <c:v>14.39</c:v>
                </c:pt>
                <c:pt idx="72">
                  <c:v>14.59</c:v>
                </c:pt>
                <c:pt idx="73">
                  <c:v>14.79</c:v>
                </c:pt>
                <c:pt idx="74">
                  <c:v>14.99</c:v>
                </c:pt>
                <c:pt idx="75">
                  <c:v>15.19</c:v>
                </c:pt>
                <c:pt idx="76">
                  <c:v>15.39</c:v>
                </c:pt>
                <c:pt idx="77">
                  <c:v>15.59</c:v>
                </c:pt>
                <c:pt idx="78">
                  <c:v>15.79</c:v>
                </c:pt>
                <c:pt idx="79">
                  <c:v>15.99</c:v>
                </c:pt>
                <c:pt idx="80">
                  <c:v>16.190000000000001</c:v>
                </c:pt>
                <c:pt idx="81">
                  <c:v>16.39</c:v>
                </c:pt>
                <c:pt idx="82">
                  <c:v>16.59</c:v>
                </c:pt>
                <c:pt idx="83">
                  <c:v>16.79</c:v>
                </c:pt>
                <c:pt idx="84">
                  <c:v>16.989999999999998</c:v>
                </c:pt>
                <c:pt idx="85">
                  <c:v>17.190000000000001</c:v>
                </c:pt>
                <c:pt idx="86">
                  <c:v>17.39</c:v>
                </c:pt>
                <c:pt idx="87">
                  <c:v>17.59</c:v>
                </c:pt>
                <c:pt idx="88">
                  <c:v>17.79</c:v>
                </c:pt>
                <c:pt idx="89">
                  <c:v>17.989999999999998</c:v>
                </c:pt>
                <c:pt idx="90">
                  <c:v>18.190000000000001</c:v>
                </c:pt>
                <c:pt idx="91">
                  <c:v>18.39</c:v>
                </c:pt>
                <c:pt idx="92">
                  <c:v>18.59</c:v>
                </c:pt>
                <c:pt idx="93">
                  <c:v>18.79</c:v>
                </c:pt>
                <c:pt idx="94">
                  <c:v>18.989999999999998</c:v>
                </c:pt>
                <c:pt idx="95">
                  <c:v>19.190000000000001</c:v>
                </c:pt>
                <c:pt idx="96">
                  <c:v>19.39</c:v>
                </c:pt>
                <c:pt idx="97">
                  <c:v>19.59</c:v>
                </c:pt>
                <c:pt idx="98">
                  <c:v>19.79</c:v>
                </c:pt>
                <c:pt idx="99">
                  <c:v>19.989999999999998</c:v>
                </c:pt>
                <c:pt idx="100">
                  <c:v>20.190000000000001</c:v>
                </c:pt>
                <c:pt idx="101">
                  <c:v>20.39</c:v>
                </c:pt>
                <c:pt idx="102">
                  <c:v>20.59</c:v>
                </c:pt>
                <c:pt idx="103">
                  <c:v>20.79</c:v>
                </c:pt>
                <c:pt idx="104">
                  <c:v>20.99</c:v>
                </c:pt>
                <c:pt idx="105">
                  <c:v>21.19</c:v>
                </c:pt>
                <c:pt idx="106">
                  <c:v>21.39</c:v>
                </c:pt>
                <c:pt idx="107">
                  <c:v>21.59</c:v>
                </c:pt>
                <c:pt idx="108">
                  <c:v>21.79</c:v>
                </c:pt>
                <c:pt idx="109">
                  <c:v>21.99</c:v>
                </c:pt>
                <c:pt idx="110">
                  <c:v>22.19</c:v>
                </c:pt>
                <c:pt idx="111">
                  <c:v>22.39</c:v>
                </c:pt>
                <c:pt idx="112">
                  <c:v>22.59</c:v>
                </c:pt>
                <c:pt idx="113">
                  <c:v>22.79</c:v>
                </c:pt>
                <c:pt idx="114">
                  <c:v>22.99</c:v>
                </c:pt>
                <c:pt idx="115">
                  <c:v>23.19</c:v>
                </c:pt>
                <c:pt idx="116">
                  <c:v>23.39</c:v>
                </c:pt>
                <c:pt idx="117">
                  <c:v>23.59</c:v>
                </c:pt>
                <c:pt idx="118">
                  <c:v>23.79</c:v>
                </c:pt>
                <c:pt idx="119">
                  <c:v>23.99</c:v>
                </c:pt>
                <c:pt idx="120">
                  <c:v>24.19</c:v>
                </c:pt>
                <c:pt idx="121">
                  <c:v>24.39</c:v>
                </c:pt>
                <c:pt idx="122">
                  <c:v>24.59</c:v>
                </c:pt>
                <c:pt idx="123">
                  <c:v>24.79</c:v>
                </c:pt>
                <c:pt idx="124">
                  <c:v>24.99</c:v>
                </c:pt>
                <c:pt idx="125">
                  <c:v>25.19</c:v>
                </c:pt>
                <c:pt idx="126">
                  <c:v>25.39</c:v>
                </c:pt>
                <c:pt idx="127">
                  <c:v>25.59</c:v>
                </c:pt>
                <c:pt idx="128">
                  <c:v>25.79</c:v>
                </c:pt>
                <c:pt idx="129">
                  <c:v>25.99</c:v>
                </c:pt>
                <c:pt idx="130">
                  <c:v>26.19</c:v>
                </c:pt>
                <c:pt idx="131">
                  <c:v>26.39</c:v>
                </c:pt>
                <c:pt idx="132">
                  <c:v>26.59</c:v>
                </c:pt>
                <c:pt idx="133">
                  <c:v>26.79</c:v>
                </c:pt>
                <c:pt idx="134">
                  <c:v>26.99</c:v>
                </c:pt>
                <c:pt idx="135">
                  <c:v>27.19</c:v>
                </c:pt>
                <c:pt idx="136">
                  <c:v>27.39</c:v>
                </c:pt>
                <c:pt idx="137">
                  <c:v>27.59</c:v>
                </c:pt>
                <c:pt idx="138">
                  <c:v>27.79</c:v>
                </c:pt>
                <c:pt idx="139">
                  <c:v>27.99</c:v>
                </c:pt>
                <c:pt idx="140">
                  <c:v>28.19</c:v>
                </c:pt>
                <c:pt idx="141">
                  <c:v>28.39</c:v>
                </c:pt>
                <c:pt idx="142">
                  <c:v>28.59</c:v>
                </c:pt>
                <c:pt idx="143">
                  <c:v>28.79</c:v>
                </c:pt>
                <c:pt idx="144">
                  <c:v>28.99</c:v>
                </c:pt>
                <c:pt idx="145">
                  <c:v>29.19</c:v>
                </c:pt>
                <c:pt idx="146">
                  <c:v>29.39</c:v>
                </c:pt>
                <c:pt idx="147">
                  <c:v>29.59</c:v>
                </c:pt>
                <c:pt idx="148">
                  <c:v>29.79</c:v>
                </c:pt>
                <c:pt idx="149">
                  <c:v>29.99</c:v>
                </c:pt>
                <c:pt idx="150">
                  <c:v>30.19</c:v>
                </c:pt>
                <c:pt idx="151">
                  <c:v>30.39</c:v>
                </c:pt>
                <c:pt idx="152">
                  <c:v>30.59</c:v>
                </c:pt>
                <c:pt idx="153">
                  <c:v>30.79</c:v>
                </c:pt>
                <c:pt idx="154">
                  <c:v>30.99</c:v>
                </c:pt>
                <c:pt idx="155">
                  <c:v>31.19</c:v>
                </c:pt>
                <c:pt idx="156">
                  <c:v>31.39</c:v>
                </c:pt>
                <c:pt idx="157">
                  <c:v>31.59</c:v>
                </c:pt>
                <c:pt idx="158">
                  <c:v>31.79</c:v>
                </c:pt>
                <c:pt idx="159">
                  <c:v>31.99</c:v>
                </c:pt>
                <c:pt idx="160">
                  <c:v>32.19</c:v>
                </c:pt>
                <c:pt idx="161">
                  <c:v>32.39</c:v>
                </c:pt>
                <c:pt idx="162">
                  <c:v>32.590000000000003</c:v>
                </c:pt>
                <c:pt idx="163">
                  <c:v>32.79</c:v>
                </c:pt>
                <c:pt idx="164">
                  <c:v>32.99</c:v>
                </c:pt>
                <c:pt idx="165">
                  <c:v>33.19</c:v>
                </c:pt>
                <c:pt idx="166">
                  <c:v>33.39</c:v>
                </c:pt>
                <c:pt idx="167">
                  <c:v>33.590000000000003</c:v>
                </c:pt>
                <c:pt idx="168">
                  <c:v>33.79</c:v>
                </c:pt>
                <c:pt idx="169">
                  <c:v>33.99</c:v>
                </c:pt>
                <c:pt idx="170">
                  <c:v>34.19</c:v>
                </c:pt>
                <c:pt idx="171">
                  <c:v>34.39</c:v>
                </c:pt>
                <c:pt idx="172">
                  <c:v>34.590000000000003</c:v>
                </c:pt>
                <c:pt idx="173">
                  <c:v>34.79</c:v>
                </c:pt>
                <c:pt idx="174">
                  <c:v>34.99</c:v>
                </c:pt>
                <c:pt idx="175">
                  <c:v>35.19</c:v>
                </c:pt>
                <c:pt idx="176">
                  <c:v>35.39</c:v>
                </c:pt>
                <c:pt idx="177">
                  <c:v>35.590000000000003</c:v>
                </c:pt>
                <c:pt idx="178">
                  <c:v>35.79</c:v>
                </c:pt>
                <c:pt idx="179">
                  <c:v>35.99</c:v>
                </c:pt>
                <c:pt idx="180">
                  <c:v>36.19</c:v>
                </c:pt>
                <c:pt idx="181">
                  <c:v>36.39</c:v>
                </c:pt>
                <c:pt idx="182">
                  <c:v>36.590000000000003</c:v>
                </c:pt>
                <c:pt idx="183">
                  <c:v>36.79</c:v>
                </c:pt>
                <c:pt idx="184">
                  <c:v>36.99</c:v>
                </c:pt>
                <c:pt idx="185">
                  <c:v>37.19</c:v>
                </c:pt>
                <c:pt idx="186">
                  <c:v>37.39</c:v>
                </c:pt>
                <c:pt idx="187">
                  <c:v>37.590000000000003</c:v>
                </c:pt>
                <c:pt idx="188">
                  <c:v>37.79</c:v>
                </c:pt>
                <c:pt idx="189">
                  <c:v>37.99</c:v>
                </c:pt>
                <c:pt idx="190">
                  <c:v>38.19</c:v>
                </c:pt>
                <c:pt idx="191">
                  <c:v>38.39</c:v>
                </c:pt>
                <c:pt idx="192">
                  <c:v>38.590000000000003</c:v>
                </c:pt>
                <c:pt idx="193">
                  <c:v>38.79</c:v>
                </c:pt>
                <c:pt idx="194">
                  <c:v>38.99</c:v>
                </c:pt>
                <c:pt idx="195">
                  <c:v>39.19</c:v>
                </c:pt>
                <c:pt idx="196">
                  <c:v>39.39</c:v>
                </c:pt>
                <c:pt idx="197">
                  <c:v>39.590000000000003</c:v>
                </c:pt>
                <c:pt idx="198">
                  <c:v>39.79</c:v>
                </c:pt>
                <c:pt idx="199">
                  <c:v>39.99</c:v>
                </c:pt>
                <c:pt idx="200">
                  <c:v>40.19</c:v>
                </c:pt>
                <c:pt idx="201">
                  <c:v>40.39</c:v>
                </c:pt>
                <c:pt idx="202">
                  <c:v>40.590000000000003</c:v>
                </c:pt>
                <c:pt idx="203">
                  <c:v>40.79</c:v>
                </c:pt>
                <c:pt idx="204">
                  <c:v>40.99</c:v>
                </c:pt>
                <c:pt idx="205">
                  <c:v>41.19</c:v>
                </c:pt>
                <c:pt idx="206">
                  <c:v>41.39</c:v>
                </c:pt>
                <c:pt idx="207">
                  <c:v>41.59</c:v>
                </c:pt>
                <c:pt idx="208">
                  <c:v>41.79</c:v>
                </c:pt>
                <c:pt idx="209">
                  <c:v>41.99</c:v>
                </c:pt>
                <c:pt idx="210">
                  <c:v>42.19</c:v>
                </c:pt>
                <c:pt idx="211">
                  <c:v>42.39</c:v>
                </c:pt>
                <c:pt idx="212">
                  <c:v>42.59</c:v>
                </c:pt>
                <c:pt idx="213">
                  <c:v>42.79</c:v>
                </c:pt>
                <c:pt idx="214">
                  <c:v>42.99</c:v>
                </c:pt>
                <c:pt idx="215">
                  <c:v>43.19</c:v>
                </c:pt>
                <c:pt idx="216">
                  <c:v>43.39</c:v>
                </c:pt>
                <c:pt idx="217">
                  <c:v>43.59</c:v>
                </c:pt>
                <c:pt idx="218">
                  <c:v>43.79</c:v>
                </c:pt>
                <c:pt idx="219">
                  <c:v>43.99</c:v>
                </c:pt>
                <c:pt idx="220">
                  <c:v>44.19</c:v>
                </c:pt>
                <c:pt idx="221">
                  <c:v>44.39</c:v>
                </c:pt>
                <c:pt idx="222">
                  <c:v>44.59</c:v>
                </c:pt>
                <c:pt idx="223">
                  <c:v>44.79</c:v>
                </c:pt>
                <c:pt idx="224">
                  <c:v>44.99</c:v>
                </c:pt>
                <c:pt idx="225">
                  <c:v>45.19</c:v>
                </c:pt>
                <c:pt idx="226">
                  <c:v>45.39</c:v>
                </c:pt>
                <c:pt idx="227">
                  <c:v>45.59</c:v>
                </c:pt>
                <c:pt idx="228">
                  <c:v>45.79</c:v>
                </c:pt>
                <c:pt idx="229">
                  <c:v>45.99</c:v>
                </c:pt>
                <c:pt idx="230">
                  <c:v>46.19</c:v>
                </c:pt>
                <c:pt idx="231">
                  <c:v>46.39</c:v>
                </c:pt>
                <c:pt idx="232">
                  <c:v>46.59</c:v>
                </c:pt>
                <c:pt idx="233">
                  <c:v>46.79</c:v>
                </c:pt>
                <c:pt idx="234">
                  <c:v>46.99</c:v>
                </c:pt>
                <c:pt idx="235">
                  <c:v>47.19</c:v>
                </c:pt>
                <c:pt idx="236">
                  <c:v>47.39</c:v>
                </c:pt>
                <c:pt idx="237">
                  <c:v>47.59</c:v>
                </c:pt>
                <c:pt idx="238">
                  <c:v>47.79</c:v>
                </c:pt>
                <c:pt idx="239">
                  <c:v>47.99</c:v>
                </c:pt>
                <c:pt idx="240">
                  <c:v>48.19</c:v>
                </c:pt>
                <c:pt idx="241">
                  <c:v>48.39</c:v>
                </c:pt>
                <c:pt idx="242">
                  <c:v>48.59</c:v>
                </c:pt>
                <c:pt idx="243">
                  <c:v>48.79</c:v>
                </c:pt>
                <c:pt idx="244">
                  <c:v>48.99</c:v>
                </c:pt>
                <c:pt idx="245">
                  <c:v>49.19</c:v>
                </c:pt>
                <c:pt idx="246">
                  <c:v>49.39</c:v>
                </c:pt>
                <c:pt idx="247">
                  <c:v>49.59</c:v>
                </c:pt>
                <c:pt idx="248">
                  <c:v>49.79</c:v>
                </c:pt>
                <c:pt idx="249">
                  <c:v>49.99</c:v>
                </c:pt>
                <c:pt idx="250">
                  <c:v>50.19</c:v>
                </c:pt>
                <c:pt idx="251">
                  <c:v>50.39</c:v>
                </c:pt>
                <c:pt idx="252">
                  <c:v>50.59</c:v>
                </c:pt>
                <c:pt idx="253">
                  <c:v>50.79</c:v>
                </c:pt>
                <c:pt idx="254">
                  <c:v>50.99</c:v>
                </c:pt>
                <c:pt idx="255">
                  <c:v>51.19</c:v>
                </c:pt>
                <c:pt idx="256">
                  <c:v>51.39</c:v>
                </c:pt>
                <c:pt idx="257">
                  <c:v>51.59</c:v>
                </c:pt>
                <c:pt idx="258">
                  <c:v>51.79</c:v>
                </c:pt>
                <c:pt idx="259">
                  <c:v>51.99</c:v>
                </c:pt>
                <c:pt idx="260">
                  <c:v>52.19</c:v>
                </c:pt>
                <c:pt idx="261">
                  <c:v>52.39</c:v>
                </c:pt>
                <c:pt idx="262">
                  <c:v>52.59</c:v>
                </c:pt>
                <c:pt idx="263">
                  <c:v>52.79</c:v>
                </c:pt>
                <c:pt idx="264">
                  <c:v>52.99</c:v>
                </c:pt>
                <c:pt idx="265">
                  <c:v>53.19</c:v>
                </c:pt>
                <c:pt idx="266">
                  <c:v>53.39</c:v>
                </c:pt>
                <c:pt idx="267">
                  <c:v>53.59</c:v>
                </c:pt>
                <c:pt idx="268">
                  <c:v>53.79</c:v>
                </c:pt>
                <c:pt idx="269">
                  <c:v>53.99</c:v>
                </c:pt>
                <c:pt idx="270">
                  <c:v>54.19</c:v>
                </c:pt>
                <c:pt idx="271">
                  <c:v>54.39</c:v>
                </c:pt>
                <c:pt idx="272">
                  <c:v>54.59</c:v>
                </c:pt>
                <c:pt idx="273">
                  <c:v>54.79</c:v>
                </c:pt>
                <c:pt idx="274">
                  <c:v>54.99</c:v>
                </c:pt>
                <c:pt idx="275">
                  <c:v>55.19</c:v>
                </c:pt>
                <c:pt idx="276">
                  <c:v>55.39</c:v>
                </c:pt>
                <c:pt idx="277">
                  <c:v>55.59</c:v>
                </c:pt>
                <c:pt idx="278">
                  <c:v>55.79</c:v>
                </c:pt>
                <c:pt idx="279">
                  <c:v>55.99</c:v>
                </c:pt>
                <c:pt idx="280">
                  <c:v>56.19</c:v>
                </c:pt>
                <c:pt idx="281">
                  <c:v>56.39</c:v>
                </c:pt>
                <c:pt idx="282">
                  <c:v>56.59</c:v>
                </c:pt>
                <c:pt idx="283">
                  <c:v>56.79</c:v>
                </c:pt>
                <c:pt idx="284">
                  <c:v>56.99</c:v>
                </c:pt>
                <c:pt idx="285">
                  <c:v>57.19</c:v>
                </c:pt>
                <c:pt idx="286">
                  <c:v>57.39</c:v>
                </c:pt>
                <c:pt idx="287">
                  <c:v>57.59</c:v>
                </c:pt>
                <c:pt idx="288">
                  <c:v>57.79</c:v>
                </c:pt>
                <c:pt idx="289">
                  <c:v>57.99</c:v>
                </c:pt>
                <c:pt idx="290">
                  <c:v>58.19</c:v>
                </c:pt>
                <c:pt idx="291">
                  <c:v>58.39</c:v>
                </c:pt>
                <c:pt idx="292">
                  <c:v>58.59</c:v>
                </c:pt>
                <c:pt idx="293">
                  <c:v>58.79</c:v>
                </c:pt>
                <c:pt idx="294">
                  <c:v>58.99</c:v>
                </c:pt>
                <c:pt idx="295">
                  <c:v>59.19</c:v>
                </c:pt>
                <c:pt idx="296">
                  <c:v>59.39</c:v>
                </c:pt>
              </c:numCache>
            </c:numRef>
          </c:xVal>
          <c:yVal>
            <c:numRef>
              <c:f>Y向顶点时程曲线!$B$2:$B$298</c:f>
              <c:numCache>
                <c:formatCode>General</c:formatCode>
                <c:ptCount val="297"/>
                <c:pt idx="0">
                  <c:v>-7.4556199999999996E-4</c:v>
                </c:pt>
                <c:pt idx="1">
                  <c:v>-9.4206800000000001E-4</c:v>
                </c:pt>
                <c:pt idx="2">
                  <c:v>-1.0410300000000001E-3</c:v>
                </c:pt>
                <c:pt idx="3">
                  <c:v>-9.9145200000000009E-4</c:v>
                </c:pt>
                <c:pt idx="4">
                  <c:v>-8.2502900000000002E-4</c:v>
                </c:pt>
                <c:pt idx="5">
                  <c:v>-6.4382100000000004E-4</c:v>
                </c:pt>
                <c:pt idx="6">
                  <c:v>-5.1777099999999999E-4</c:v>
                </c:pt>
                <c:pt idx="7">
                  <c:v>-4.8935799999999996E-4</c:v>
                </c:pt>
                <c:pt idx="8">
                  <c:v>-5.7371699999999996E-4</c:v>
                </c:pt>
                <c:pt idx="9">
                  <c:v>-6.65688E-4</c:v>
                </c:pt>
                <c:pt idx="10">
                  <c:v>-7.6852099999999998E-4</c:v>
                </c:pt>
                <c:pt idx="11">
                  <c:v>-8.5734500000000003E-4</c:v>
                </c:pt>
                <c:pt idx="12">
                  <c:v>-9.1457300000000001E-4</c:v>
                </c:pt>
                <c:pt idx="13">
                  <c:v>-1.0140500000000001E-3</c:v>
                </c:pt>
                <c:pt idx="14">
                  <c:v>-9.3900400000000001E-4</c:v>
                </c:pt>
                <c:pt idx="15">
                  <c:v>-8.6007900000000003E-4</c:v>
                </c:pt>
                <c:pt idx="16">
                  <c:v>-6.3364400000000005E-4</c:v>
                </c:pt>
                <c:pt idx="17">
                  <c:v>-3.3929199999999999E-4</c:v>
                </c:pt>
                <c:pt idx="18">
                  <c:v>-1.4338900000000001E-4</c:v>
                </c:pt>
                <c:pt idx="19" formatCode="0.00E+00">
                  <c:v>-4.9300800000000001E-5</c:v>
                </c:pt>
                <c:pt idx="20">
                  <c:v>-2.3207600000000001E-4</c:v>
                </c:pt>
                <c:pt idx="21">
                  <c:v>-4.10338E-4</c:v>
                </c:pt>
                <c:pt idx="22">
                  <c:v>-9.05166E-4</c:v>
                </c:pt>
                <c:pt idx="23">
                  <c:v>-1.2754999999999999E-3</c:v>
                </c:pt>
                <c:pt idx="24">
                  <c:v>-1.41289E-3</c:v>
                </c:pt>
                <c:pt idx="25">
                  <c:v>-1.28326E-3</c:v>
                </c:pt>
                <c:pt idx="26">
                  <c:v>-1.08121E-3</c:v>
                </c:pt>
                <c:pt idx="27">
                  <c:v>-9.7040199999999998E-4</c:v>
                </c:pt>
                <c:pt idx="28">
                  <c:v>-5.8336800000000002E-4</c:v>
                </c:pt>
                <c:pt idx="29" formatCode="0.00E+00">
                  <c:v>-9.5876699999999996E-5</c:v>
                </c:pt>
                <c:pt idx="30" formatCode="0.00E+00">
                  <c:v>7.1789299999999994E-5</c:v>
                </c:pt>
                <c:pt idx="31">
                  <c:v>-2.5520300000000002E-4</c:v>
                </c:pt>
                <c:pt idx="32">
                  <c:v>-4.5082400000000001E-4</c:v>
                </c:pt>
                <c:pt idx="33">
                  <c:v>-7.7198499999999999E-4</c:v>
                </c:pt>
                <c:pt idx="34">
                  <c:v>-1.1682800000000001E-3</c:v>
                </c:pt>
                <c:pt idx="35">
                  <c:v>-1.07194E-3</c:v>
                </c:pt>
                <c:pt idx="36">
                  <c:v>-9.7151900000000001E-4</c:v>
                </c:pt>
                <c:pt idx="37">
                  <c:v>-6.3298599999999999E-4</c:v>
                </c:pt>
                <c:pt idx="38">
                  <c:v>-3.4239699999999998E-4</c:v>
                </c:pt>
                <c:pt idx="39">
                  <c:v>-5.2433700000000005E-4</c:v>
                </c:pt>
                <c:pt idx="40">
                  <c:v>-9.7587599999999998E-4</c:v>
                </c:pt>
                <c:pt idx="41">
                  <c:v>-9.942900000000001E-4</c:v>
                </c:pt>
                <c:pt idx="42">
                  <c:v>-1.1944600000000001E-3</c:v>
                </c:pt>
                <c:pt idx="43">
                  <c:v>-1.57054E-3</c:v>
                </c:pt>
                <c:pt idx="44">
                  <c:v>-1.2421800000000001E-3</c:v>
                </c:pt>
                <c:pt idx="45">
                  <c:v>-1.12099E-4</c:v>
                </c:pt>
                <c:pt idx="46">
                  <c:v>1.7137299999999999E-3</c:v>
                </c:pt>
                <c:pt idx="47">
                  <c:v>7.3020400000000003E-4</c:v>
                </c:pt>
                <c:pt idx="48">
                  <c:v>1.12723E-4</c:v>
                </c:pt>
                <c:pt idx="49">
                  <c:v>-2.2622300000000001E-3</c:v>
                </c:pt>
                <c:pt idx="50">
                  <c:v>-2.4877100000000002E-3</c:v>
                </c:pt>
                <c:pt idx="51">
                  <c:v>-1.5868099999999999E-3</c:v>
                </c:pt>
                <c:pt idx="52">
                  <c:v>-3.7972800000000001E-3</c:v>
                </c:pt>
                <c:pt idx="53">
                  <c:v>-7.8891599999999997E-4</c:v>
                </c:pt>
                <c:pt idx="54">
                  <c:v>-5.0299100000000005E-4</c:v>
                </c:pt>
                <c:pt idx="55">
                  <c:v>1.9082599999999999E-3</c:v>
                </c:pt>
                <c:pt idx="56">
                  <c:v>5.5070300000000004E-3</c:v>
                </c:pt>
                <c:pt idx="57">
                  <c:v>2.3781000000000002E-3</c:v>
                </c:pt>
                <c:pt idx="58">
                  <c:v>5.3476399999999996E-4</c:v>
                </c:pt>
                <c:pt idx="59">
                  <c:v>-2.6383700000000001E-3</c:v>
                </c:pt>
                <c:pt idx="60">
                  <c:v>-5.7477600000000002E-3</c:v>
                </c:pt>
                <c:pt idx="61">
                  <c:v>-3.37353E-3</c:v>
                </c:pt>
                <c:pt idx="62">
                  <c:v>-1.3711299999999999E-3</c:v>
                </c:pt>
                <c:pt idx="63">
                  <c:v>2.26278E-4</c:v>
                </c:pt>
                <c:pt idx="64">
                  <c:v>-3.17702E-4</c:v>
                </c:pt>
                <c:pt idx="65">
                  <c:v>6.2067700000000003E-4</c:v>
                </c:pt>
                <c:pt idx="66">
                  <c:v>1.16313E-4</c:v>
                </c:pt>
                <c:pt idx="67">
                  <c:v>3.7451899999999998E-3</c:v>
                </c:pt>
                <c:pt idx="68">
                  <c:v>3.91589E-3</c:v>
                </c:pt>
                <c:pt idx="69">
                  <c:v>-2.5132700000000002E-3</c:v>
                </c:pt>
                <c:pt idx="70">
                  <c:v>-3.9362199999999998E-3</c:v>
                </c:pt>
                <c:pt idx="71">
                  <c:v>-1.93333E-3</c:v>
                </c:pt>
                <c:pt idx="72">
                  <c:v>-3.11977E-3</c:v>
                </c:pt>
                <c:pt idx="73">
                  <c:v>-7.59693E-3</c:v>
                </c:pt>
                <c:pt idx="74">
                  <c:v>-8.9741600000000001E-3</c:v>
                </c:pt>
                <c:pt idx="75">
                  <c:v>-5.3350000000000003E-3</c:v>
                </c:pt>
                <c:pt idx="76">
                  <c:v>-4.9189200000000002E-3</c:v>
                </c:pt>
                <c:pt idx="77" formatCode="0.00E+00">
                  <c:v>4.2336799999999998E-5</c:v>
                </c:pt>
                <c:pt idx="78">
                  <c:v>7.3776700000000002E-3</c:v>
                </c:pt>
                <c:pt idx="79">
                  <c:v>1.32637E-2</c:v>
                </c:pt>
                <c:pt idx="80">
                  <c:v>1.2497400000000001E-2</c:v>
                </c:pt>
                <c:pt idx="81">
                  <c:v>1.2292900000000001E-3</c:v>
                </c:pt>
                <c:pt idx="82">
                  <c:v>-7.8949699999999994E-3</c:v>
                </c:pt>
                <c:pt idx="83">
                  <c:v>-1.21295E-2</c:v>
                </c:pt>
                <c:pt idx="84">
                  <c:v>-1.26614E-2</c:v>
                </c:pt>
                <c:pt idx="85">
                  <c:v>-1.0035199999999999E-2</c:v>
                </c:pt>
                <c:pt idx="86">
                  <c:v>8.7127999999999999E-4</c:v>
                </c:pt>
                <c:pt idx="87">
                  <c:v>1.22722E-2</c:v>
                </c:pt>
                <c:pt idx="88">
                  <c:v>1.27165E-2</c:v>
                </c:pt>
                <c:pt idx="89">
                  <c:v>8.2143600000000004E-3</c:v>
                </c:pt>
                <c:pt idx="90">
                  <c:v>-2.1454400000000002E-3</c:v>
                </c:pt>
                <c:pt idx="91">
                  <c:v>-8.4259199999999999E-3</c:v>
                </c:pt>
                <c:pt idx="92">
                  <c:v>-1.1050000000000001E-2</c:v>
                </c:pt>
                <c:pt idx="93">
                  <c:v>-1.06877E-2</c:v>
                </c:pt>
                <c:pt idx="94">
                  <c:v>-7.0231599999999996E-3</c:v>
                </c:pt>
                <c:pt idx="95">
                  <c:v>1.3044599999999999E-3</c:v>
                </c:pt>
                <c:pt idx="96">
                  <c:v>9.6054599999999997E-3</c:v>
                </c:pt>
                <c:pt idx="97">
                  <c:v>9.8210399999999996E-3</c:v>
                </c:pt>
                <c:pt idx="98">
                  <c:v>1.41905E-2</c:v>
                </c:pt>
                <c:pt idx="99">
                  <c:v>1.10919E-2</c:v>
                </c:pt>
                <c:pt idx="100">
                  <c:v>-1.9053099999999999E-3</c:v>
                </c:pt>
                <c:pt idx="101">
                  <c:v>-1.1247500000000001E-2</c:v>
                </c:pt>
                <c:pt idx="102">
                  <c:v>-2.2248400000000002E-2</c:v>
                </c:pt>
                <c:pt idx="103">
                  <c:v>-2.2536500000000001E-2</c:v>
                </c:pt>
                <c:pt idx="104">
                  <c:v>-1.37181E-2</c:v>
                </c:pt>
                <c:pt idx="105">
                  <c:v>1.23255E-2</c:v>
                </c:pt>
                <c:pt idx="106">
                  <c:v>3.8816900000000001E-2</c:v>
                </c:pt>
                <c:pt idx="107">
                  <c:v>3.7982799999999997E-2</c:v>
                </c:pt>
                <c:pt idx="108">
                  <c:v>2.5518300000000001E-2</c:v>
                </c:pt>
                <c:pt idx="109">
                  <c:v>6.5850300000000004E-3</c:v>
                </c:pt>
                <c:pt idx="110">
                  <c:v>-1.8938E-2</c:v>
                </c:pt>
                <c:pt idx="111">
                  <c:v>-4.9775600000000003E-2</c:v>
                </c:pt>
                <c:pt idx="112">
                  <c:v>-5.13517E-2</c:v>
                </c:pt>
                <c:pt idx="113">
                  <c:v>-2.1514100000000001E-2</c:v>
                </c:pt>
                <c:pt idx="114">
                  <c:v>-4.0549500000000002E-4</c:v>
                </c:pt>
                <c:pt idx="115">
                  <c:v>9.9284100000000004E-3</c:v>
                </c:pt>
                <c:pt idx="116">
                  <c:v>1.83748E-2</c:v>
                </c:pt>
                <c:pt idx="117">
                  <c:v>2.3588600000000001E-2</c:v>
                </c:pt>
                <c:pt idx="118">
                  <c:v>6.6437600000000003E-3</c:v>
                </c:pt>
                <c:pt idx="119">
                  <c:v>-2.3273500000000002E-3</c:v>
                </c:pt>
                <c:pt idx="120">
                  <c:v>-6.7440800000000004E-3</c:v>
                </c:pt>
                <c:pt idx="121">
                  <c:v>-2.2860399999999999E-2</c:v>
                </c:pt>
                <c:pt idx="122">
                  <c:v>-1.0548200000000001E-2</c:v>
                </c:pt>
                <c:pt idx="123">
                  <c:v>-1.3333900000000001E-3</c:v>
                </c:pt>
                <c:pt idx="124">
                  <c:v>1.4737500000000001E-2</c:v>
                </c:pt>
                <c:pt idx="125">
                  <c:v>3.2805399999999998E-2</c:v>
                </c:pt>
                <c:pt idx="126">
                  <c:v>3.1388600000000003E-2</c:v>
                </c:pt>
                <c:pt idx="127">
                  <c:v>2.1641199999999999E-2</c:v>
                </c:pt>
                <c:pt idx="128">
                  <c:v>-8.2300600000000008E-3</c:v>
                </c:pt>
                <c:pt idx="129">
                  <c:v>-3.65884E-2</c:v>
                </c:pt>
                <c:pt idx="130">
                  <c:v>-4.93327E-2</c:v>
                </c:pt>
                <c:pt idx="131">
                  <c:v>-5.0849199999999997E-2</c:v>
                </c:pt>
                <c:pt idx="132">
                  <c:v>-1.8294000000000001E-2</c:v>
                </c:pt>
                <c:pt idx="133">
                  <c:v>2.4100400000000001E-2</c:v>
                </c:pt>
                <c:pt idx="134">
                  <c:v>2.5827099999999999E-2</c:v>
                </c:pt>
                <c:pt idx="135">
                  <c:v>-2.2607499999999999E-2</c:v>
                </c:pt>
                <c:pt idx="136">
                  <c:v>-5.9993699999999997E-2</c:v>
                </c:pt>
                <c:pt idx="137">
                  <c:v>-3.0374100000000001E-2</c:v>
                </c:pt>
                <c:pt idx="138">
                  <c:v>3.7005099999999999E-2</c:v>
                </c:pt>
                <c:pt idx="139">
                  <c:v>5.9023199999999998E-2</c:v>
                </c:pt>
                <c:pt idx="140">
                  <c:v>2.58585E-2</c:v>
                </c:pt>
                <c:pt idx="141">
                  <c:v>-1.31089E-2</c:v>
                </c:pt>
                <c:pt idx="142">
                  <c:v>-5.2719200000000001E-2</c:v>
                </c:pt>
                <c:pt idx="143">
                  <c:v>-3.52062E-2</c:v>
                </c:pt>
                <c:pt idx="144">
                  <c:v>1.0551899999999999E-2</c:v>
                </c:pt>
                <c:pt idx="145">
                  <c:v>-2.7144499999999998E-2</c:v>
                </c:pt>
                <c:pt idx="146">
                  <c:v>-7.0770900000000003E-3</c:v>
                </c:pt>
                <c:pt idx="147">
                  <c:v>4.5412399999999999E-2</c:v>
                </c:pt>
                <c:pt idx="148">
                  <c:v>4.0150600000000002E-2</c:v>
                </c:pt>
                <c:pt idx="149">
                  <c:v>5.0990300000000002E-2</c:v>
                </c:pt>
                <c:pt idx="150">
                  <c:v>1.4162299999999999E-2</c:v>
                </c:pt>
                <c:pt idx="151">
                  <c:v>-3.1988299999999997E-2</c:v>
                </c:pt>
                <c:pt idx="152">
                  <c:v>-4.3359599999999998E-2</c:v>
                </c:pt>
                <c:pt idx="153">
                  <c:v>-4.2031800000000001E-2</c:v>
                </c:pt>
                <c:pt idx="154">
                  <c:v>3.2255000000000001E-3</c:v>
                </c:pt>
                <c:pt idx="155">
                  <c:v>5.6831399999999997E-2</c:v>
                </c:pt>
                <c:pt idx="156">
                  <c:v>6.8337899999999993E-2</c:v>
                </c:pt>
                <c:pt idx="157">
                  <c:v>9.0679800000000005E-2</c:v>
                </c:pt>
                <c:pt idx="158">
                  <c:v>7.6617500000000005E-2</c:v>
                </c:pt>
                <c:pt idx="159">
                  <c:v>-2.21377E-2</c:v>
                </c:pt>
                <c:pt idx="160">
                  <c:v>-7.5066300000000002E-2</c:v>
                </c:pt>
                <c:pt idx="161">
                  <c:v>-9.3536099999999997E-2</c:v>
                </c:pt>
                <c:pt idx="162">
                  <c:v>-0.12981300000000001</c:v>
                </c:pt>
                <c:pt idx="163">
                  <c:v>-9.0623400000000007E-2</c:v>
                </c:pt>
                <c:pt idx="164">
                  <c:v>-2.0939200000000002E-2</c:v>
                </c:pt>
                <c:pt idx="165">
                  <c:v>4.3770700000000003E-2</c:v>
                </c:pt>
                <c:pt idx="166">
                  <c:v>0.166576</c:v>
                </c:pt>
                <c:pt idx="167">
                  <c:v>0.220197</c:v>
                </c:pt>
                <c:pt idx="168">
                  <c:v>0.15612200000000001</c:v>
                </c:pt>
                <c:pt idx="169">
                  <c:v>5.7910200000000002E-2</c:v>
                </c:pt>
                <c:pt idx="170">
                  <c:v>-6.5254400000000004E-2</c:v>
                </c:pt>
                <c:pt idx="171">
                  <c:v>-0.14324100000000001</c:v>
                </c:pt>
                <c:pt idx="172">
                  <c:v>-0.118463</c:v>
                </c:pt>
                <c:pt idx="173">
                  <c:v>-7.6873499999999997E-2</c:v>
                </c:pt>
                <c:pt idx="174">
                  <c:v>-2.54618E-2</c:v>
                </c:pt>
                <c:pt idx="175">
                  <c:v>4.2340799999999998E-2</c:v>
                </c:pt>
                <c:pt idx="176">
                  <c:v>7.74122E-2</c:v>
                </c:pt>
                <c:pt idx="177">
                  <c:v>8.24656E-2</c:v>
                </c:pt>
                <c:pt idx="178">
                  <c:v>5.2806800000000001E-2</c:v>
                </c:pt>
                <c:pt idx="179">
                  <c:v>1.6446500000000001E-3</c:v>
                </c:pt>
                <c:pt idx="180">
                  <c:v>-4.6780500000000003E-2</c:v>
                </c:pt>
                <c:pt idx="181">
                  <c:v>-8.1955399999999998E-2</c:v>
                </c:pt>
                <c:pt idx="182">
                  <c:v>-8.5559800000000005E-2</c:v>
                </c:pt>
                <c:pt idx="183">
                  <c:v>-5.1055400000000001E-2</c:v>
                </c:pt>
                <c:pt idx="184">
                  <c:v>1.33685E-2</c:v>
                </c:pt>
                <c:pt idx="185">
                  <c:v>8.0751299999999998E-2</c:v>
                </c:pt>
                <c:pt idx="186">
                  <c:v>0.116507</c:v>
                </c:pt>
                <c:pt idx="187">
                  <c:v>0.113139</c:v>
                </c:pt>
                <c:pt idx="188">
                  <c:v>6.1357599999999998E-2</c:v>
                </c:pt>
                <c:pt idx="189">
                  <c:v>-1.93657E-2</c:v>
                </c:pt>
                <c:pt idx="190">
                  <c:v>-8.5828199999999993E-2</c:v>
                </c:pt>
                <c:pt idx="191">
                  <c:v>-0.113885</c:v>
                </c:pt>
                <c:pt idx="192">
                  <c:v>-9.8478499999999997E-2</c:v>
                </c:pt>
                <c:pt idx="193">
                  <c:v>-5.7794499999999999E-2</c:v>
                </c:pt>
                <c:pt idx="194">
                  <c:v>-4.94568E-3</c:v>
                </c:pt>
                <c:pt idx="195">
                  <c:v>3.8517999999999997E-2</c:v>
                </c:pt>
                <c:pt idx="196">
                  <c:v>7.0711499999999997E-2</c:v>
                </c:pt>
                <c:pt idx="197">
                  <c:v>9.3703999999999996E-2</c:v>
                </c:pt>
                <c:pt idx="198">
                  <c:v>7.5195899999999996E-2</c:v>
                </c:pt>
                <c:pt idx="199">
                  <c:v>3.8797100000000001E-2</c:v>
                </c:pt>
                <c:pt idx="200">
                  <c:v>1.4039100000000001E-2</c:v>
                </c:pt>
                <c:pt idx="201">
                  <c:v>1.9030900000000001E-3</c:v>
                </c:pt>
                <c:pt idx="202">
                  <c:v>9.1992900000000006E-3</c:v>
                </c:pt>
                <c:pt idx="203">
                  <c:v>2.5495799999999999E-2</c:v>
                </c:pt>
                <c:pt idx="204">
                  <c:v>4.29475E-2</c:v>
                </c:pt>
                <c:pt idx="205">
                  <c:v>6.18545E-2</c:v>
                </c:pt>
                <c:pt idx="206">
                  <c:v>5.8421500000000001E-2</c:v>
                </c:pt>
                <c:pt idx="207">
                  <c:v>3.9646800000000003E-2</c:v>
                </c:pt>
                <c:pt idx="208">
                  <c:v>2.7804200000000001E-2</c:v>
                </c:pt>
                <c:pt idx="209">
                  <c:v>1.08185E-2</c:v>
                </c:pt>
                <c:pt idx="210">
                  <c:v>-9.5445300000000007E-3</c:v>
                </c:pt>
                <c:pt idx="211">
                  <c:v>-2.73429E-2</c:v>
                </c:pt>
                <c:pt idx="212">
                  <c:v>-4.4290599999999999E-2</c:v>
                </c:pt>
                <c:pt idx="213">
                  <c:v>-3.9264500000000001E-2</c:v>
                </c:pt>
                <c:pt idx="214">
                  <c:v>-1.6991200000000001E-2</c:v>
                </c:pt>
                <c:pt idx="215">
                  <c:v>-1.64707E-3</c:v>
                </c:pt>
                <c:pt idx="216">
                  <c:v>1.6646500000000002E-2</c:v>
                </c:pt>
                <c:pt idx="217">
                  <c:v>2.8039499999999998E-2</c:v>
                </c:pt>
                <c:pt idx="218">
                  <c:v>2.71133E-2</c:v>
                </c:pt>
                <c:pt idx="219">
                  <c:v>2.61056E-2</c:v>
                </c:pt>
                <c:pt idx="220">
                  <c:v>1.5325999999999999E-2</c:v>
                </c:pt>
                <c:pt idx="221">
                  <c:v>-6.7178699999999999E-3</c:v>
                </c:pt>
                <c:pt idx="222">
                  <c:v>-1.9605999999999998E-2</c:v>
                </c:pt>
                <c:pt idx="223">
                  <c:v>-1.22717E-2</c:v>
                </c:pt>
                <c:pt idx="224">
                  <c:v>2.2942499999999998E-3</c:v>
                </c:pt>
                <c:pt idx="225">
                  <c:v>3.86032E-3</c:v>
                </c:pt>
                <c:pt idx="226">
                  <c:v>-5.4480500000000003E-3</c:v>
                </c:pt>
                <c:pt idx="227">
                  <c:v>-1.21335E-2</c:v>
                </c:pt>
                <c:pt idx="228">
                  <c:v>-1.27032E-2</c:v>
                </c:pt>
                <c:pt idx="229">
                  <c:v>-5.7753700000000002E-3</c:v>
                </c:pt>
                <c:pt idx="230">
                  <c:v>7.9101899999999992E-3</c:v>
                </c:pt>
                <c:pt idx="231">
                  <c:v>2.6715099999999999E-2</c:v>
                </c:pt>
                <c:pt idx="232">
                  <c:v>4.7732700000000003E-2</c:v>
                </c:pt>
                <c:pt idx="233">
                  <c:v>6.1343099999999998E-2</c:v>
                </c:pt>
                <c:pt idx="234">
                  <c:v>7.0867600000000003E-2</c:v>
                </c:pt>
                <c:pt idx="235">
                  <c:v>6.25222E-2</c:v>
                </c:pt>
                <c:pt idx="236">
                  <c:v>2.18823E-2</c:v>
                </c:pt>
                <c:pt idx="237">
                  <c:v>-1.9077799999999999E-2</c:v>
                </c:pt>
                <c:pt idx="238">
                  <c:v>-3.5283599999999998E-2</c:v>
                </c:pt>
                <c:pt idx="239">
                  <c:v>-3.5421399999999999E-2</c:v>
                </c:pt>
                <c:pt idx="240">
                  <c:v>-2.6427099999999999E-2</c:v>
                </c:pt>
                <c:pt idx="241">
                  <c:v>-1.75763E-2</c:v>
                </c:pt>
                <c:pt idx="242">
                  <c:v>-8.4895600000000002E-3</c:v>
                </c:pt>
                <c:pt idx="243">
                  <c:v>8.6886499999999992E-3</c:v>
                </c:pt>
                <c:pt idx="244">
                  <c:v>1.8446400000000002E-2</c:v>
                </c:pt>
                <c:pt idx="245">
                  <c:v>2.1691700000000001E-2</c:v>
                </c:pt>
                <c:pt idx="246">
                  <c:v>2.8635799999999999E-2</c:v>
                </c:pt>
                <c:pt idx="247">
                  <c:v>3.3699699999999999E-2</c:v>
                </c:pt>
                <c:pt idx="248">
                  <c:v>4.5054400000000001E-2</c:v>
                </c:pt>
                <c:pt idx="249">
                  <c:v>6.4350199999999996E-2</c:v>
                </c:pt>
                <c:pt idx="250">
                  <c:v>6.9944900000000004E-2</c:v>
                </c:pt>
                <c:pt idx="251">
                  <c:v>6.0205300000000003E-2</c:v>
                </c:pt>
                <c:pt idx="252">
                  <c:v>4.4876399999999997E-2</c:v>
                </c:pt>
                <c:pt idx="253">
                  <c:v>1.0681299999999999E-2</c:v>
                </c:pt>
                <c:pt idx="254">
                  <c:v>-2.3903400000000002E-2</c:v>
                </c:pt>
                <c:pt idx="255">
                  <c:v>-4.4698700000000001E-2</c:v>
                </c:pt>
                <c:pt idx="256">
                  <c:v>-5.4790899999999997E-2</c:v>
                </c:pt>
                <c:pt idx="257">
                  <c:v>-4.0492500000000001E-2</c:v>
                </c:pt>
                <c:pt idx="258">
                  <c:v>-2.1264999999999999E-2</c:v>
                </c:pt>
                <c:pt idx="259">
                  <c:v>-1.32441E-2</c:v>
                </c:pt>
                <c:pt idx="260">
                  <c:v>-8.9319099999999995E-3</c:v>
                </c:pt>
                <c:pt idx="261">
                  <c:v>-1.2419899999999999E-2</c:v>
                </c:pt>
                <c:pt idx="262">
                  <c:v>-1.35724E-2</c:v>
                </c:pt>
                <c:pt idx="263">
                  <c:v>-8.6823100000000004E-3</c:v>
                </c:pt>
                <c:pt idx="264">
                  <c:v>-6.2158100000000004E-3</c:v>
                </c:pt>
                <c:pt idx="265">
                  <c:v>3.4281400000000001E-3</c:v>
                </c:pt>
                <c:pt idx="266">
                  <c:v>1.01937E-2</c:v>
                </c:pt>
                <c:pt idx="267">
                  <c:v>8.6552199999999997E-4</c:v>
                </c:pt>
                <c:pt idx="268">
                  <c:v>-7.2526400000000003E-3</c:v>
                </c:pt>
                <c:pt idx="269">
                  <c:v>-1.18818E-2</c:v>
                </c:pt>
                <c:pt idx="270">
                  <c:v>-1.22758E-2</c:v>
                </c:pt>
                <c:pt idx="271">
                  <c:v>3.4477499999999999E-3</c:v>
                </c:pt>
                <c:pt idx="272">
                  <c:v>3.5375400000000001E-2</c:v>
                </c:pt>
                <c:pt idx="273">
                  <c:v>7.5018299999999996E-2</c:v>
                </c:pt>
                <c:pt idx="274">
                  <c:v>0.10834299999999999</c:v>
                </c:pt>
                <c:pt idx="275">
                  <c:v>0.124956</c:v>
                </c:pt>
                <c:pt idx="276">
                  <c:v>0.115524</c:v>
                </c:pt>
                <c:pt idx="277">
                  <c:v>7.1624199999999999E-2</c:v>
                </c:pt>
                <c:pt idx="278">
                  <c:v>1.16796E-2</c:v>
                </c:pt>
                <c:pt idx="279">
                  <c:v>-4.2843300000000001E-2</c:v>
                </c:pt>
                <c:pt idx="280">
                  <c:v>-8.2757300000000006E-2</c:v>
                </c:pt>
                <c:pt idx="281">
                  <c:v>-9.43634E-2</c:v>
                </c:pt>
                <c:pt idx="282">
                  <c:v>-7.8877199999999995E-2</c:v>
                </c:pt>
                <c:pt idx="283">
                  <c:v>-4.5385200000000001E-2</c:v>
                </c:pt>
                <c:pt idx="284">
                  <c:v>6.1887399999999999E-3</c:v>
                </c:pt>
                <c:pt idx="285">
                  <c:v>6.3197799999999998E-2</c:v>
                </c:pt>
                <c:pt idx="286">
                  <c:v>0.107227</c:v>
                </c:pt>
                <c:pt idx="287">
                  <c:v>0.129354</c:v>
                </c:pt>
                <c:pt idx="288">
                  <c:v>0.113374</c:v>
                </c:pt>
                <c:pt idx="289">
                  <c:v>6.0607899999999999E-2</c:v>
                </c:pt>
                <c:pt idx="290">
                  <c:v>-5.7458099999999996E-3</c:v>
                </c:pt>
                <c:pt idx="291">
                  <c:v>-7.0842299999999997E-2</c:v>
                </c:pt>
                <c:pt idx="292">
                  <c:v>-0.116726</c:v>
                </c:pt>
                <c:pt idx="293">
                  <c:v>-0.13220599999999999</c:v>
                </c:pt>
                <c:pt idx="294">
                  <c:v>-0.115622</c:v>
                </c:pt>
                <c:pt idx="295">
                  <c:v>-7.2952199999999995E-2</c:v>
                </c:pt>
                <c:pt idx="296">
                  <c:v>-2.2326499999999999E-2</c:v>
                </c:pt>
              </c:numCache>
            </c:numRef>
          </c:yVal>
          <c:smooth val="0"/>
        </c:ser>
        <c:ser>
          <c:idx val="1"/>
          <c:order val="1"/>
          <c:tx>
            <c:strRef>
              <c:f>Y向顶点时程曲线!$C$1</c:f>
              <c:strCache>
                <c:ptCount val="1"/>
                <c:pt idx="0">
                  <c:v>TRB2-UY-弹性</c:v>
                </c:pt>
              </c:strCache>
            </c:strRef>
          </c:tx>
          <c:spPr>
            <a:ln w="12700" cap="rnd">
              <a:solidFill>
                <a:schemeClr val="accent2"/>
              </a:solidFill>
              <a:round/>
            </a:ln>
            <a:effectLst/>
          </c:spPr>
          <c:marker>
            <c:symbol val="none"/>
          </c:marker>
          <c:xVal>
            <c:numRef>
              <c:f>Y向顶点时程曲线!$A$2:$A$298</c:f>
              <c:numCache>
                <c:formatCode>General</c:formatCode>
                <c:ptCount val="297"/>
                <c:pt idx="0">
                  <c:v>0.19</c:v>
                </c:pt>
                <c:pt idx="1">
                  <c:v>0.39</c:v>
                </c:pt>
                <c:pt idx="2">
                  <c:v>0.59</c:v>
                </c:pt>
                <c:pt idx="3">
                  <c:v>0.79</c:v>
                </c:pt>
                <c:pt idx="4">
                  <c:v>0.99</c:v>
                </c:pt>
                <c:pt idx="5">
                  <c:v>1.19</c:v>
                </c:pt>
                <c:pt idx="6">
                  <c:v>1.39</c:v>
                </c:pt>
                <c:pt idx="7">
                  <c:v>1.59</c:v>
                </c:pt>
                <c:pt idx="8">
                  <c:v>1.79</c:v>
                </c:pt>
                <c:pt idx="9">
                  <c:v>1.99</c:v>
                </c:pt>
                <c:pt idx="10">
                  <c:v>2.19</c:v>
                </c:pt>
                <c:pt idx="11">
                  <c:v>2.39</c:v>
                </c:pt>
                <c:pt idx="12">
                  <c:v>2.59</c:v>
                </c:pt>
                <c:pt idx="13">
                  <c:v>2.79</c:v>
                </c:pt>
                <c:pt idx="14">
                  <c:v>2.99</c:v>
                </c:pt>
                <c:pt idx="15">
                  <c:v>3.19</c:v>
                </c:pt>
                <c:pt idx="16">
                  <c:v>3.39</c:v>
                </c:pt>
                <c:pt idx="17">
                  <c:v>3.59</c:v>
                </c:pt>
                <c:pt idx="18">
                  <c:v>3.79</c:v>
                </c:pt>
                <c:pt idx="19">
                  <c:v>3.99</c:v>
                </c:pt>
                <c:pt idx="20">
                  <c:v>4.1900000000000004</c:v>
                </c:pt>
                <c:pt idx="21">
                  <c:v>4.3899999999999997</c:v>
                </c:pt>
                <c:pt idx="22">
                  <c:v>4.59</c:v>
                </c:pt>
                <c:pt idx="23">
                  <c:v>4.79</c:v>
                </c:pt>
                <c:pt idx="24">
                  <c:v>4.99</c:v>
                </c:pt>
                <c:pt idx="25">
                  <c:v>5.19</c:v>
                </c:pt>
                <c:pt idx="26">
                  <c:v>5.39</c:v>
                </c:pt>
                <c:pt idx="27">
                  <c:v>5.59</c:v>
                </c:pt>
                <c:pt idx="28">
                  <c:v>5.79</c:v>
                </c:pt>
                <c:pt idx="29">
                  <c:v>5.99</c:v>
                </c:pt>
                <c:pt idx="30">
                  <c:v>6.19</c:v>
                </c:pt>
                <c:pt idx="31">
                  <c:v>6.39</c:v>
                </c:pt>
                <c:pt idx="32">
                  <c:v>6.59</c:v>
                </c:pt>
                <c:pt idx="33">
                  <c:v>6.79</c:v>
                </c:pt>
                <c:pt idx="34">
                  <c:v>6.99</c:v>
                </c:pt>
                <c:pt idx="35">
                  <c:v>7.19</c:v>
                </c:pt>
                <c:pt idx="36">
                  <c:v>7.39</c:v>
                </c:pt>
                <c:pt idx="37">
                  <c:v>7.59</c:v>
                </c:pt>
                <c:pt idx="38">
                  <c:v>7.79</c:v>
                </c:pt>
                <c:pt idx="39">
                  <c:v>7.99</c:v>
                </c:pt>
                <c:pt idx="40">
                  <c:v>8.19</c:v>
                </c:pt>
                <c:pt idx="41">
                  <c:v>8.39</c:v>
                </c:pt>
                <c:pt idx="42">
                  <c:v>8.59</c:v>
                </c:pt>
                <c:pt idx="43">
                  <c:v>8.7899999999999991</c:v>
                </c:pt>
                <c:pt idx="44">
                  <c:v>8.99</c:v>
                </c:pt>
                <c:pt idx="45">
                  <c:v>9.19</c:v>
                </c:pt>
                <c:pt idx="46">
                  <c:v>9.39</c:v>
                </c:pt>
                <c:pt idx="47">
                  <c:v>9.59</c:v>
                </c:pt>
                <c:pt idx="48">
                  <c:v>9.7899999999999991</c:v>
                </c:pt>
                <c:pt idx="49">
                  <c:v>9.99</c:v>
                </c:pt>
                <c:pt idx="50">
                  <c:v>10.19</c:v>
                </c:pt>
                <c:pt idx="51">
                  <c:v>10.39</c:v>
                </c:pt>
                <c:pt idx="52">
                  <c:v>10.59</c:v>
                </c:pt>
                <c:pt idx="53">
                  <c:v>10.79</c:v>
                </c:pt>
                <c:pt idx="54">
                  <c:v>10.99</c:v>
                </c:pt>
                <c:pt idx="55">
                  <c:v>11.19</c:v>
                </c:pt>
                <c:pt idx="56">
                  <c:v>11.39</c:v>
                </c:pt>
                <c:pt idx="57">
                  <c:v>11.59</c:v>
                </c:pt>
                <c:pt idx="58">
                  <c:v>11.79</c:v>
                </c:pt>
                <c:pt idx="59">
                  <c:v>11.99</c:v>
                </c:pt>
                <c:pt idx="60">
                  <c:v>12.19</c:v>
                </c:pt>
                <c:pt idx="61">
                  <c:v>12.39</c:v>
                </c:pt>
                <c:pt idx="62">
                  <c:v>12.59</c:v>
                </c:pt>
                <c:pt idx="63">
                  <c:v>12.79</c:v>
                </c:pt>
                <c:pt idx="64">
                  <c:v>12.99</c:v>
                </c:pt>
                <c:pt idx="65">
                  <c:v>13.19</c:v>
                </c:pt>
                <c:pt idx="66">
                  <c:v>13.39</c:v>
                </c:pt>
                <c:pt idx="67">
                  <c:v>13.59</c:v>
                </c:pt>
                <c:pt idx="68">
                  <c:v>13.79</c:v>
                </c:pt>
                <c:pt idx="69">
                  <c:v>13.99</c:v>
                </c:pt>
                <c:pt idx="70">
                  <c:v>14.19</c:v>
                </c:pt>
                <c:pt idx="71">
                  <c:v>14.39</c:v>
                </c:pt>
                <c:pt idx="72">
                  <c:v>14.59</c:v>
                </c:pt>
                <c:pt idx="73">
                  <c:v>14.79</c:v>
                </c:pt>
                <c:pt idx="74">
                  <c:v>14.99</c:v>
                </c:pt>
                <c:pt idx="75">
                  <c:v>15.19</c:v>
                </c:pt>
                <c:pt idx="76">
                  <c:v>15.39</c:v>
                </c:pt>
                <c:pt idx="77">
                  <c:v>15.59</c:v>
                </c:pt>
                <c:pt idx="78">
                  <c:v>15.79</c:v>
                </c:pt>
                <c:pt idx="79">
                  <c:v>15.99</c:v>
                </c:pt>
                <c:pt idx="80">
                  <c:v>16.190000000000001</c:v>
                </c:pt>
                <c:pt idx="81">
                  <c:v>16.39</c:v>
                </c:pt>
                <c:pt idx="82">
                  <c:v>16.59</c:v>
                </c:pt>
                <c:pt idx="83">
                  <c:v>16.79</c:v>
                </c:pt>
                <c:pt idx="84">
                  <c:v>16.989999999999998</c:v>
                </c:pt>
                <c:pt idx="85">
                  <c:v>17.190000000000001</c:v>
                </c:pt>
                <c:pt idx="86">
                  <c:v>17.39</c:v>
                </c:pt>
                <c:pt idx="87">
                  <c:v>17.59</c:v>
                </c:pt>
                <c:pt idx="88">
                  <c:v>17.79</c:v>
                </c:pt>
                <c:pt idx="89">
                  <c:v>17.989999999999998</c:v>
                </c:pt>
                <c:pt idx="90">
                  <c:v>18.190000000000001</c:v>
                </c:pt>
                <c:pt idx="91">
                  <c:v>18.39</c:v>
                </c:pt>
                <c:pt idx="92">
                  <c:v>18.59</c:v>
                </c:pt>
                <c:pt idx="93">
                  <c:v>18.79</c:v>
                </c:pt>
                <c:pt idx="94">
                  <c:v>18.989999999999998</c:v>
                </c:pt>
                <c:pt idx="95">
                  <c:v>19.190000000000001</c:v>
                </c:pt>
                <c:pt idx="96">
                  <c:v>19.39</c:v>
                </c:pt>
                <c:pt idx="97">
                  <c:v>19.59</c:v>
                </c:pt>
                <c:pt idx="98">
                  <c:v>19.79</c:v>
                </c:pt>
                <c:pt idx="99">
                  <c:v>19.989999999999998</c:v>
                </c:pt>
                <c:pt idx="100">
                  <c:v>20.190000000000001</c:v>
                </c:pt>
                <c:pt idx="101">
                  <c:v>20.39</c:v>
                </c:pt>
                <c:pt idx="102">
                  <c:v>20.59</c:v>
                </c:pt>
                <c:pt idx="103">
                  <c:v>20.79</c:v>
                </c:pt>
                <c:pt idx="104">
                  <c:v>20.99</c:v>
                </c:pt>
                <c:pt idx="105">
                  <c:v>21.19</c:v>
                </c:pt>
                <c:pt idx="106">
                  <c:v>21.39</c:v>
                </c:pt>
                <c:pt idx="107">
                  <c:v>21.59</c:v>
                </c:pt>
                <c:pt idx="108">
                  <c:v>21.79</c:v>
                </c:pt>
                <c:pt idx="109">
                  <c:v>21.99</c:v>
                </c:pt>
                <c:pt idx="110">
                  <c:v>22.19</c:v>
                </c:pt>
                <c:pt idx="111">
                  <c:v>22.39</c:v>
                </c:pt>
                <c:pt idx="112">
                  <c:v>22.59</c:v>
                </c:pt>
                <c:pt idx="113">
                  <c:v>22.79</c:v>
                </c:pt>
                <c:pt idx="114">
                  <c:v>22.99</c:v>
                </c:pt>
                <c:pt idx="115">
                  <c:v>23.19</c:v>
                </c:pt>
                <c:pt idx="116">
                  <c:v>23.39</c:v>
                </c:pt>
                <c:pt idx="117">
                  <c:v>23.59</c:v>
                </c:pt>
                <c:pt idx="118">
                  <c:v>23.79</c:v>
                </c:pt>
                <c:pt idx="119">
                  <c:v>23.99</c:v>
                </c:pt>
                <c:pt idx="120">
                  <c:v>24.19</c:v>
                </c:pt>
                <c:pt idx="121">
                  <c:v>24.39</c:v>
                </c:pt>
                <c:pt idx="122">
                  <c:v>24.59</c:v>
                </c:pt>
                <c:pt idx="123">
                  <c:v>24.79</c:v>
                </c:pt>
                <c:pt idx="124">
                  <c:v>24.99</c:v>
                </c:pt>
                <c:pt idx="125">
                  <c:v>25.19</c:v>
                </c:pt>
                <c:pt idx="126">
                  <c:v>25.39</c:v>
                </c:pt>
                <c:pt idx="127">
                  <c:v>25.59</c:v>
                </c:pt>
                <c:pt idx="128">
                  <c:v>25.79</c:v>
                </c:pt>
                <c:pt idx="129">
                  <c:v>25.99</c:v>
                </c:pt>
                <c:pt idx="130">
                  <c:v>26.19</c:v>
                </c:pt>
                <c:pt idx="131">
                  <c:v>26.39</c:v>
                </c:pt>
                <c:pt idx="132">
                  <c:v>26.59</c:v>
                </c:pt>
                <c:pt idx="133">
                  <c:v>26.79</c:v>
                </c:pt>
                <c:pt idx="134">
                  <c:v>26.99</c:v>
                </c:pt>
                <c:pt idx="135">
                  <c:v>27.19</c:v>
                </c:pt>
                <c:pt idx="136">
                  <c:v>27.39</c:v>
                </c:pt>
                <c:pt idx="137">
                  <c:v>27.59</c:v>
                </c:pt>
                <c:pt idx="138">
                  <c:v>27.79</c:v>
                </c:pt>
                <c:pt idx="139">
                  <c:v>27.99</c:v>
                </c:pt>
                <c:pt idx="140">
                  <c:v>28.19</c:v>
                </c:pt>
                <c:pt idx="141">
                  <c:v>28.39</c:v>
                </c:pt>
                <c:pt idx="142">
                  <c:v>28.59</c:v>
                </c:pt>
                <c:pt idx="143">
                  <c:v>28.79</c:v>
                </c:pt>
                <c:pt idx="144">
                  <c:v>28.99</c:v>
                </c:pt>
                <c:pt idx="145">
                  <c:v>29.19</c:v>
                </c:pt>
                <c:pt idx="146">
                  <c:v>29.39</c:v>
                </c:pt>
                <c:pt idx="147">
                  <c:v>29.59</c:v>
                </c:pt>
                <c:pt idx="148">
                  <c:v>29.79</c:v>
                </c:pt>
                <c:pt idx="149">
                  <c:v>29.99</c:v>
                </c:pt>
                <c:pt idx="150">
                  <c:v>30.19</c:v>
                </c:pt>
                <c:pt idx="151">
                  <c:v>30.39</c:v>
                </c:pt>
                <c:pt idx="152">
                  <c:v>30.59</c:v>
                </c:pt>
                <c:pt idx="153">
                  <c:v>30.79</c:v>
                </c:pt>
                <c:pt idx="154">
                  <c:v>30.99</c:v>
                </c:pt>
                <c:pt idx="155">
                  <c:v>31.19</c:v>
                </c:pt>
                <c:pt idx="156">
                  <c:v>31.39</c:v>
                </c:pt>
                <c:pt idx="157">
                  <c:v>31.59</c:v>
                </c:pt>
                <c:pt idx="158">
                  <c:v>31.79</c:v>
                </c:pt>
                <c:pt idx="159">
                  <c:v>31.99</c:v>
                </c:pt>
                <c:pt idx="160">
                  <c:v>32.19</c:v>
                </c:pt>
                <c:pt idx="161">
                  <c:v>32.39</c:v>
                </c:pt>
                <c:pt idx="162">
                  <c:v>32.590000000000003</c:v>
                </c:pt>
                <c:pt idx="163">
                  <c:v>32.79</c:v>
                </c:pt>
                <c:pt idx="164">
                  <c:v>32.99</c:v>
                </c:pt>
                <c:pt idx="165">
                  <c:v>33.19</c:v>
                </c:pt>
                <c:pt idx="166">
                  <c:v>33.39</c:v>
                </c:pt>
                <c:pt idx="167">
                  <c:v>33.590000000000003</c:v>
                </c:pt>
                <c:pt idx="168">
                  <c:v>33.79</c:v>
                </c:pt>
                <c:pt idx="169">
                  <c:v>33.99</c:v>
                </c:pt>
                <c:pt idx="170">
                  <c:v>34.19</c:v>
                </c:pt>
                <c:pt idx="171">
                  <c:v>34.39</c:v>
                </c:pt>
                <c:pt idx="172">
                  <c:v>34.590000000000003</c:v>
                </c:pt>
                <c:pt idx="173">
                  <c:v>34.79</c:v>
                </c:pt>
                <c:pt idx="174">
                  <c:v>34.99</c:v>
                </c:pt>
                <c:pt idx="175">
                  <c:v>35.19</c:v>
                </c:pt>
                <c:pt idx="176">
                  <c:v>35.39</c:v>
                </c:pt>
                <c:pt idx="177">
                  <c:v>35.590000000000003</c:v>
                </c:pt>
                <c:pt idx="178">
                  <c:v>35.79</c:v>
                </c:pt>
                <c:pt idx="179">
                  <c:v>35.99</c:v>
                </c:pt>
                <c:pt idx="180">
                  <c:v>36.19</c:v>
                </c:pt>
                <c:pt idx="181">
                  <c:v>36.39</c:v>
                </c:pt>
                <c:pt idx="182">
                  <c:v>36.590000000000003</c:v>
                </c:pt>
                <c:pt idx="183">
                  <c:v>36.79</c:v>
                </c:pt>
                <c:pt idx="184">
                  <c:v>36.99</c:v>
                </c:pt>
                <c:pt idx="185">
                  <c:v>37.19</c:v>
                </c:pt>
                <c:pt idx="186">
                  <c:v>37.39</c:v>
                </c:pt>
                <c:pt idx="187">
                  <c:v>37.590000000000003</c:v>
                </c:pt>
                <c:pt idx="188">
                  <c:v>37.79</c:v>
                </c:pt>
                <c:pt idx="189">
                  <c:v>37.99</c:v>
                </c:pt>
                <c:pt idx="190">
                  <c:v>38.19</c:v>
                </c:pt>
                <c:pt idx="191">
                  <c:v>38.39</c:v>
                </c:pt>
                <c:pt idx="192">
                  <c:v>38.590000000000003</c:v>
                </c:pt>
                <c:pt idx="193">
                  <c:v>38.79</c:v>
                </c:pt>
                <c:pt idx="194">
                  <c:v>38.99</c:v>
                </c:pt>
                <c:pt idx="195">
                  <c:v>39.19</c:v>
                </c:pt>
                <c:pt idx="196">
                  <c:v>39.39</c:v>
                </c:pt>
                <c:pt idx="197">
                  <c:v>39.590000000000003</c:v>
                </c:pt>
                <c:pt idx="198">
                  <c:v>39.79</c:v>
                </c:pt>
                <c:pt idx="199">
                  <c:v>39.99</c:v>
                </c:pt>
                <c:pt idx="200">
                  <c:v>40.19</c:v>
                </c:pt>
                <c:pt idx="201">
                  <c:v>40.39</c:v>
                </c:pt>
                <c:pt idx="202">
                  <c:v>40.590000000000003</c:v>
                </c:pt>
                <c:pt idx="203">
                  <c:v>40.79</c:v>
                </c:pt>
                <c:pt idx="204">
                  <c:v>40.99</c:v>
                </c:pt>
                <c:pt idx="205">
                  <c:v>41.19</c:v>
                </c:pt>
                <c:pt idx="206">
                  <c:v>41.39</c:v>
                </c:pt>
                <c:pt idx="207">
                  <c:v>41.59</c:v>
                </c:pt>
                <c:pt idx="208">
                  <c:v>41.79</c:v>
                </c:pt>
                <c:pt idx="209">
                  <c:v>41.99</c:v>
                </c:pt>
                <c:pt idx="210">
                  <c:v>42.19</c:v>
                </c:pt>
                <c:pt idx="211">
                  <c:v>42.39</c:v>
                </c:pt>
                <c:pt idx="212">
                  <c:v>42.59</c:v>
                </c:pt>
                <c:pt idx="213">
                  <c:v>42.79</c:v>
                </c:pt>
                <c:pt idx="214">
                  <c:v>42.99</c:v>
                </c:pt>
                <c:pt idx="215">
                  <c:v>43.19</c:v>
                </c:pt>
                <c:pt idx="216">
                  <c:v>43.39</c:v>
                </c:pt>
                <c:pt idx="217">
                  <c:v>43.59</c:v>
                </c:pt>
                <c:pt idx="218">
                  <c:v>43.79</c:v>
                </c:pt>
                <c:pt idx="219">
                  <c:v>43.99</c:v>
                </c:pt>
                <c:pt idx="220">
                  <c:v>44.19</c:v>
                </c:pt>
                <c:pt idx="221">
                  <c:v>44.39</c:v>
                </c:pt>
                <c:pt idx="222">
                  <c:v>44.59</c:v>
                </c:pt>
                <c:pt idx="223">
                  <c:v>44.79</c:v>
                </c:pt>
                <c:pt idx="224">
                  <c:v>44.99</c:v>
                </c:pt>
                <c:pt idx="225">
                  <c:v>45.19</c:v>
                </c:pt>
                <c:pt idx="226">
                  <c:v>45.39</c:v>
                </c:pt>
                <c:pt idx="227">
                  <c:v>45.59</c:v>
                </c:pt>
                <c:pt idx="228">
                  <c:v>45.79</c:v>
                </c:pt>
                <c:pt idx="229">
                  <c:v>45.99</c:v>
                </c:pt>
                <c:pt idx="230">
                  <c:v>46.19</c:v>
                </c:pt>
                <c:pt idx="231">
                  <c:v>46.39</c:v>
                </c:pt>
                <c:pt idx="232">
                  <c:v>46.59</c:v>
                </c:pt>
                <c:pt idx="233">
                  <c:v>46.79</c:v>
                </c:pt>
                <c:pt idx="234">
                  <c:v>46.99</c:v>
                </c:pt>
                <c:pt idx="235">
                  <c:v>47.19</c:v>
                </c:pt>
                <c:pt idx="236">
                  <c:v>47.39</c:v>
                </c:pt>
                <c:pt idx="237">
                  <c:v>47.59</c:v>
                </c:pt>
                <c:pt idx="238">
                  <c:v>47.79</c:v>
                </c:pt>
                <c:pt idx="239">
                  <c:v>47.99</c:v>
                </c:pt>
                <c:pt idx="240">
                  <c:v>48.19</c:v>
                </c:pt>
                <c:pt idx="241">
                  <c:v>48.39</c:v>
                </c:pt>
                <c:pt idx="242">
                  <c:v>48.59</c:v>
                </c:pt>
                <c:pt idx="243">
                  <c:v>48.79</c:v>
                </c:pt>
                <c:pt idx="244">
                  <c:v>48.99</c:v>
                </c:pt>
                <c:pt idx="245">
                  <c:v>49.19</c:v>
                </c:pt>
                <c:pt idx="246">
                  <c:v>49.39</c:v>
                </c:pt>
                <c:pt idx="247">
                  <c:v>49.59</c:v>
                </c:pt>
                <c:pt idx="248">
                  <c:v>49.79</c:v>
                </c:pt>
                <c:pt idx="249">
                  <c:v>49.99</c:v>
                </c:pt>
                <c:pt idx="250">
                  <c:v>50.19</c:v>
                </c:pt>
                <c:pt idx="251">
                  <c:v>50.39</c:v>
                </c:pt>
                <c:pt idx="252">
                  <c:v>50.59</c:v>
                </c:pt>
                <c:pt idx="253">
                  <c:v>50.79</c:v>
                </c:pt>
                <c:pt idx="254">
                  <c:v>50.99</c:v>
                </c:pt>
                <c:pt idx="255">
                  <c:v>51.19</c:v>
                </c:pt>
                <c:pt idx="256">
                  <c:v>51.39</c:v>
                </c:pt>
                <c:pt idx="257">
                  <c:v>51.59</c:v>
                </c:pt>
                <c:pt idx="258">
                  <c:v>51.79</c:v>
                </c:pt>
                <c:pt idx="259">
                  <c:v>51.99</c:v>
                </c:pt>
                <c:pt idx="260">
                  <c:v>52.19</c:v>
                </c:pt>
                <c:pt idx="261">
                  <c:v>52.39</c:v>
                </c:pt>
                <c:pt idx="262">
                  <c:v>52.59</c:v>
                </c:pt>
                <c:pt idx="263">
                  <c:v>52.79</c:v>
                </c:pt>
                <c:pt idx="264">
                  <c:v>52.99</c:v>
                </c:pt>
                <c:pt idx="265">
                  <c:v>53.19</c:v>
                </c:pt>
                <c:pt idx="266">
                  <c:v>53.39</c:v>
                </c:pt>
                <c:pt idx="267">
                  <c:v>53.59</c:v>
                </c:pt>
                <c:pt idx="268">
                  <c:v>53.79</c:v>
                </c:pt>
                <c:pt idx="269">
                  <c:v>53.99</c:v>
                </c:pt>
                <c:pt idx="270">
                  <c:v>54.19</c:v>
                </c:pt>
                <c:pt idx="271">
                  <c:v>54.39</c:v>
                </c:pt>
                <c:pt idx="272">
                  <c:v>54.59</c:v>
                </c:pt>
                <c:pt idx="273">
                  <c:v>54.79</c:v>
                </c:pt>
                <c:pt idx="274">
                  <c:v>54.99</c:v>
                </c:pt>
                <c:pt idx="275">
                  <c:v>55.19</c:v>
                </c:pt>
                <c:pt idx="276">
                  <c:v>55.39</c:v>
                </c:pt>
                <c:pt idx="277">
                  <c:v>55.59</c:v>
                </c:pt>
                <c:pt idx="278">
                  <c:v>55.79</c:v>
                </c:pt>
                <c:pt idx="279">
                  <c:v>55.99</c:v>
                </c:pt>
                <c:pt idx="280">
                  <c:v>56.19</c:v>
                </c:pt>
                <c:pt idx="281">
                  <c:v>56.39</c:v>
                </c:pt>
                <c:pt idx="282">
                  <c:v>56.59</c:v>
                </c:pt>
                <c:pt idx="283">
                  <c:v>56.79</c:v>
                </c:pt>
                <c:pt idx="284">
                  <c:v>56.99</c:v>
                </c:pt>
                <c:pt idx="285">
                  <c:v>57.19</c:v>
                </c:pt>
                <c:pt idx="286">
                  <c:v>57.39</c:v>
                </c:pt>
                <c:pt idx="287">
                  <c:v>57.59</c:v>
                </c:pt>
                <c:pt idx="288">
                  <c:v>57.79</c:v>
                </c:pt>
                <c:pt idx="289">
                  <c:v>57.99</c:v>
                </c:pt>
                <c:pt idx="290">
                  <c:v>58.19</c:v>
                </c:pt>
                <c:pt idx="291">
                  <c:v>58.39</c:v>
                </c:pt>
                <c:pt idx="292">
                  <c:v>58.59</c:v>
                </c:pt>
                <c:pt idx="293">
                  <c:v>58.79</c:v>
                </c:pt>
                <c:pt idx="294">
                  <c:v>58.99</c:v>
                </c:pt>
                <c:pt idx="295">
                  <c:v>59.19</c:v>
                </c:pt>
                <c:pt idx="296">
                  <c:v>59.39</c:v>
                </c:pt>
              </c:numCache>
            </c:numRef>
          </c:xVal>
          <c:yVal>
            <c:numRef>
              <c:f>Y向顶点时程曲线!$C$2:$C$298</c:f>
              <c:numCache>
                <c:formatCode>0.00E+00</c:formatCode>
                <c:ptCount val="297"/>
                <c:pt idx="0">
                  <c:v>2.2464199999999999E-6</c:v>
                </c:pt>
                <c:pt idx="1">
                  <c:v>1.23143E-5</c:v>
                </c:pt>
                <c:pt idx="2">
                  <c:v>1.20269E-5</c:v>
                </c:pt>
                <c:pt idx="3">
                  <c:v>8.4375300000000005E-6</c:v>
                </c:pt>
                <c:pt idx="4">
                  <c:v>-1.8707599999999999E-6</c:v>
                </c:pt>
                <c:pt idx="5">
                  <c:v>-3.3164599999999998E-5</c:v>
                </c:pt>
                <c:pt idx="6">
                  <c:v>-4.5033200000000001E-5</c:v>
                </c:pt>
                <c:pt idx="7">
                  <c:v>-5.8538600000000002E-5</c:v>
                </c:pt>
                <c:pt idx="8">
                  <c:v>-8.3148899999999999E-6</c:v>
                </c:pt>
                <c:pt idx="9">
                  <c:v>3.5043100000000003E-5</c:v>
                </c:pt>
                <c:pt idx="10">
                  <c:v>4.2120099999999997E-5</c:v>
                </c:pt>
                <c:pt idx="11">
                  <c:v>-5.9377599999999999E-6</c:v>
                </c:pt>
                <c:pt idx="12" formatCode="General">
                  <c:v>-1.83542E-4</c:v>
                </c:pt>
                <c:pt idx="13" formatCode="General">
                  <c:v>-2.32093E-4</c:v>
                </c:pt>
                <c:pt idx="14" formatCode="General">
                  <c:v>-2.6412799999999998E-4</c:v>
                </c:pt>
                <c:pt idx="15" formatCode="General">
                  <c:v>-1.10665E-4</c:v>
                </c:pt>
                <c:pt idx="16" formatCode="General">
                  <c:v>2.13496E-4</c:v>
                </c:pt>
                <c:pt idx="17" formatCode="General">
                  <c:v>5.2829699999999995E-4</c:v>
                </c:pt>
                <c:pt idx="18" formatCode="General">
                  <c:v>6.9676000000000004E-4</c:v>
                </c:pt>
                <c:pt idx="19" formatCode="General">
                  <c:v>5.9713500000000005E-4</c:v>
                </c:pt>
                <c:pt idx="20" formatCode="General">
                  <c:v>4.2034599999999999E-4</c:v>
                </c:pt>
                <c:pt idx="21">
                  <c:v>-6.0092700000000001E-5</c:v>
                </c:pt>
                <c:pt idx="22" formatCode="General">
                  <c:v>-5.5128399999999998E-4</c:v>
                </c:pt>
                <c:pt idx="23" formatCode="General">
                  <c:v>-7.5615299999999997E-4</c:v>
                </c:pt>
                <c:pt idx="24" formatCode="General">
                  <c:v>-6.8572200000000005E-4</c:v>
                </c:pt>
                <c:pt idx="25" formatCode="General">
                  <c:v>-4.9470600000000003E-4</c:v>
                </c:pt>
                <c:pt idx="26" formatCode="General">
                  <c:v>-3.2673899999999999E-4</c:v>
                </c:pt>
                <c:pt idx="27">
                  <c:v>9.0730999999999996E-5</c:v>
                </c:pt>
                <c:pt idx="28" formatCode="General">
                  <c:v>6.6278500000000005E-4</c:v>
                </c:pt>
                <c:pt idx="29" formatCode="General">
                  <c:v>8.7011399999999996E-4</c:v>
                </c:pt>
                <c:pt idx="30" formatCode="General">
                  <c:v>5.0578600000000004E-4</c:v>
                </c:pt>
                <c:pt idx="31" formatCode="General">
                  <c:v>2.65004E-4</c:v>
                </c:pt>
                <c:pt idx="32">
                  <c:v>-6.4860499999999993E-5</c:v>
                </c:pt>
                <c:pt idx="33" formatCode="General">
                  <c:v>-5.3740999999999999E-4</c:v>
                </c:pt>
                <c:pt idx="34" formatCode="General">
                  <c:v>-4.8033599999999999E-4</c:v>
                </c:pt>
                <c:pt idx="35" formatCode="General">
                  <c:v>-3.4345799999999999E-4</c:v>
                </c:pt>
                <c:pt idx="36">
                  <c:v>8.8524700000000003E-5</c:v>
                </c:pt>
                <c:pt idx="37" formatCode="General">
                  <c:v>4.3259899999999998E-4</c:v>
                </c:pt>
                <c:pt idx="38" formatCode="General">
                  <c:v>2.5216600000000001E-4</c:v>
                </c:pt>
                <c:pt idx="39" formatCode="General">
                  <c:v>-1.9899100000000001E-4</c:v>
                </c:pt>
                <c:pt idx="40" formatCode="General">
                  <c:v>-3.0683000000000002E-4</c:v>
                </c:pt>
                <c:pt idx="41" formatCode="General">
                  <c:v>-4.80722E-4</c:v>
                </c:pt>
                <c:pt idx="42" formatCode="General">
                  <c:v>-9.3561600000000001E-4</c:v>
                </c:pt>
                <c:pt idx="43" formatCode="General">
                  <c:v>-6.8753599999999998E-4</c:v>
                </c:pt>
                <c:pt idx="44" formatCode="General">
                  <c:v>5.53234E-4</c:v>
                </c:pt>
                <c:pt idx="45" formatCode="General">
                  <c:v>2.3823999999999998E-3</c:v>
                </c:pt>
                <c:pt idx="46" formatCode="General">
                  <c:v>1.5378E-3</c:v>
                </c:pt>
                <c:pt idx="47" formatCode="General">
                  <c:v>9.3910100000000002E-4</c:v>
                </c:pt>
                <c:pt idx="48" formatCode="General">
                  <c:v>-1.41409E-3</c:v>
                </c:pt>
                <c:pt idx="49" formatCode="General">
                  <c:v>-1.9289699999999999E-3</c:v>
                </c:pt>
                <c:pt idx="50" formatCode="General">
                  <c:v>-8.4328500000000004E-4</c:v>
                </c:pt>
                <c:pt idx="51" formatCode="General">
                  <c:v>-2.9826499999999999E-3</c:v>
                </c:pt>
                <c:pt idx="52">
                  <c:v>1.06059E-5</c:v>
                </c:pt>
                <c:pt idx="53" formatCode="General">
                  <c:v>2.6630300000000001E-4</c:v>
                </c:pt>
                <c:pt idx="54" formatCode="General">
                  <c:v>2.5729199999999998E-3</c:v>
                </c:pt>
                <c:pt idx="55" formatCode="General">
                  <c:v>6.1507599999999999E-3</c:v>
                </c:pt>
                <c:pt idx="56" formatCode="General">
                  <c:v>3.2351599999999999E-3</c:v>
                </c:pt>
                <c:pt idx="57" formatCode="General">
                  <c:v>1.3166499999999999E-3</c:v>
                </c:pt>
                <c:pt idx="58" formatCode="General">
                  <c:v>-1.7765599999999999E-3</c:v>
                </c:pt>
                <c:pt idx="59" formatCode="General">
                  <c:v>-5.1587300000000003E-3</c:v>
                </c:pt>
                <c:pt idx="60" formatCode="General">
                  <c:v>-2.7562799999999998E-3</c:v>
                </c:pt>
                <c:pt idx="61" formatCode="General">
                  <c:v>-7.0672900000000002E-4</c:v>
                </c:pt>
                <c:pt idx="62" formatCode="General">
                  <c:v>1.0305500000000001E-3</c:v>
                </c:pt>
                <c:pt idx="63" formatCode="General">
                  <c:v>3.8895599999999998E-4</c:v>
                </c:pt>
                <c:pt idx="64" formatCode="General">
                  <c:v>1.34986E-3</c:v>
                </c:pt>
                <c:pt idx="65" formatCode="General">
                  <c:v>1.1841499999999999E-3</c:v>
                </c:pt>
                <c:pt idx="66" formatCode="General">
                  <c:v>4.9377700000000002E-3</c:v>
                </c:pt>
                <c:pt idx="67" formatCode="General">
                  <c:v>4.3919299999999996E-3</c:v>
                </c:pt>
                <c:pt idx="68" formatCode="General">
                  <c:v>-2.0741100000000001E-3</c:v>
                </c:pt>
                <c:pt idx="69" formatCode="General">
                  <c:v>-3.0935899999999998E-3</c:v>
                </c:pt>
                <c:pt idx="70" formatCode="General">
                  <c:v>-1.2452100000000001E-3</c:v>
                </c:pt>
                <c:pt idx="71" formatCode="General">
                  <c:v>-2.7823000000000001E-3</c:v>
                </c:pt>
                <c:pt idx="72" formatCode="General">
                  <c:v>-6.8683199999999998E-3</c:v>
                </c:pt>
                <c:pt idx="73" formatCode="General">
                  <c:v>-7.8853599999999992E-3</c:v>
                </c:pt>
                <c:pt idx="74" formatCode="General">
                  <c:v>-4.22434E-3</c:v>
                </c:pt>
                <c:pt idx="75" formatCode="General">
                  <c:v>-3.8698500000000002E-3</c:v>
                </c:pt>
                <c:pt idx="76" formatCode="General">
                  <c:v>9.9368599999999992E-4</c:v>
                </c:pt>
                <c:pt idx="77" formatCode="General">
                  <c:v>8.2341099999999993E-3</c:v>
                </c:pt>
                <c:pt idx="78" formatCode="General">
                  <c:v>1.4014499999999999E-2</c:v>
                </c:pt>
                <c:pt idx="79" formatCode="General">
                  <c:v>1.30291E-2</c:v>
                </c:pt>
                <c:pt idx="80" formatCode="General">
                  <c:v>1.64073E-3</c:v>
                </c:pt>
                <c:pt idx="81" formatCode="General">
                  <c:v>-7.4949099999999996E-3</c:v>
                </c:pt>
                <c:pt idx="82" formatCode="General">
                  <c:v>-1.1436200000000001E-2</c:v>
                </c:pt>
                <c:pt idx="83" formatCode="General">
                  <c:v>-1.1843599999999999E-2</c:v>
                </c:pt>
                <c:pt idx="84" formatCode="General">
                  <c:v>-9.0228300000000008E-3</c:v>
                </c:pt>
                <c:pt idx="85" formatCode="General">
                  <c:v>2.1402299999999999E-3</c:v>
                </c:pt>
                <c:pt idx="86" formatCode="General">
                  <c:v>1.34615E-2</c:v>
                </c:pt>
                <c:pt idx="87" formatCode="General">
                  <c:v>1.37015E-2</c:v>
                </c:pt>
                <c:pt idx="88" formatCode="General">
                  <c:v>8.7426699999999993E-3</c:v>
                </c:pt>
                <c:pt idx="89" formatCode="General">
                  <c:v>-2.0622399999999999E-3</c:v>
                </c:pt>
                <c:pt idx="90" formatCode="General">
                  <c:v>-8.0395199999999997E-3</c:v>
                </c:pt>
                <c:pt idx="91" formatCode="General">
                  <c:v>-1.0515500000000001E-2</c:v>
                </c:pt>
                <c:pt idx="92" formatCode="General">
                  <c:v>-1.04855E-2</c:v>
                </c:pt>
                <c:pt idx="93" formatCode="General">
                  <c:v>-6.2850199999999997E-3</c:v>
                </c:pt>
                <c:pt idx="94" formatCode="General">
                  <c:v>2.88623E-3</c:v>
                </c:pt>
                <c:pt idx="95" formatCode="General">
                  <c:v>1.1487600000000001E-2</c:v>
                </c:pt>
                <c:pt idx="96" formatCode="General">
                  <c:v>1.11372E-2</c:v>
                </c:pt>
                <c:pt idx="97" formatCode="General">
                  <c:v>1.48191E-2</c:v>
                </c:pt>
                <c:pt idx="98" formatCode="General">
                  <c:v>1.07689E-2</c:v>
                </c:pt>
                <c:pt idx="99" formatCode="General">
                  <c:v>-1.8542999999999999E-3</c:v>
                </c:pt>
                <c:pt idx="100" formatCode="General">
                  <c:v>-1.14675E-2</c:v>
                </c:pt>
                <c:pt idx="101" formatCode="General">
                  <c:v>-2.2163599999999999E-2</c:v>
                </c:pt>
                <c:pt idx="102" formatCode="General">
                  <c:v>-2.1266899999999998E-2</c:v>
                </c:pt>
                <c:pt idx="103" formatCode="General">
                  <c:v>-1.1213300000000001E-2</c:v>
                </c:pt>
                <c:pt idx="104" formatCode="General">
                  <c:v>1.5464E-2</c:v>
                </c:pt>
                <c:pt idx="105" formatCode="General">
                  <c:v>4.09208E-2</c:v>
                </c:pt>
                <c:pt idx="106" formatCode="General">
                  <c:v>3.8081200000000003E-2</c:v>
                </c:pt>
                <c:pt idx="107" formatCode="General">
                  <c:v>2.4104799999999999E-2</c:v>
                </c:pt>
                <c:pt idx="108" formatCode="General">
                  <c:v>3.8334100000000002E-3</c:v>
                </c:pt>
                <c:pt idx="109" formatCode="General">
                  <c:v>-2.20062E-2</c:v>
                </c:pt>
                <c:pt idx="110" formatCode="General">
                  <c:v>-5.18763E-2</c:v>
                </c:pt>
                <c:pt idx="111" formatCode="General">
                  <c:v>-4.9625900000000001E-2</c:v>
                </c:pt>
                <c:pt idx="112" formatCode="General">
                  <c:v>-1.5148200000000001E-2</c:v>
                </c:pt>
                <c:pt idx="113" formatCode="General">
                  <c:v>8.1384600000000001E-3</c:v>
                </c:pt>
                <c:pt idx="114" formatCode="General">
                  <c:v>1.7920200000000001E-2</c:v>
                </c:pt>
                <c:pt idx="115" formatCode="General">
                  <c:v>2.1889700000000002E-2</c:v>
                </c:pt>
                <c:pt idx="116" formatCode="General">
                  <c:v>2.3435399999999999E-2</c:v>
                </c:pt>
                <c:pt idx="117" formatCode="General">
                  <c:v>2.5920000000000001E-3</c:v>
                </c:pt>
                <c:pt idx="118" formatCode="General">
                  <c:v>-8.1571500000000002E-3</c:v>
                </c:pt>
                <c:pt idx="119" formatCode="General">
                  <c:v>-1.07273E-2</c:v>
                </c:pt>
                <c:pt idx="120" formatCode="General">
                  <c:v>-2.1861499999999999E-2</c:v>
                </c:pt>
                <c:pt idx="121" formatCode="General">
                  <c:v>-5.2605100000000004E-3</c:v>
                </c:pt>
                <c:pt idx="122" formatCode="General">
                  <c:v>4.7392399999999996E-3</c:v>
                </c:pt>
                <c:pt idx="123" formatCode="General">
                  <c:v>2.3377800000000001E-2</c:v>
                </c:pt>
                <c:pt idx="124" formatCode="General">
                  <c:v>3.7697399999999999E-2</c:v>
                </c:pt>
                <c:pt idx="125" formatCode="General">
                  <c:v>3.1389800000000002E-2</c:v>
                </c:pt>
                <c:pt idx="126" formatCode="General">
                  <c:v>1.8896799999999998E-2</c:v>
                </c:pt>
                <c:pt idx="127" formatCode="General">
                  <c:v>-1.53867E-2</c:v>
                </c:pt>
                <c:pt idx="128" formatCode="General">
                  <c:v>-4.1362500000000003E-2</c:v>
                </c:pt>
                <c:pt idx="129" formatCode="General">
                  <c:v>-4.9729200000000001E-2</c:v>
                </c:pt>
                <c:pt idx="130" formatCode="General">
                  <c:v>-4.6143099999999999E-2</c:v>
                </c:pt>
                <c:pt idx="131" formatCode="General">
                  <c:v>-6.7831799999999998E-3</c:v>
                </c:pt>
                <c:pt idx="132" formatCode="General">
                  <c:v>3.4836899999999997E-2</c:v>
                </c:pt>
                <c:pt idx="133" formatCode="General">
                  <c:v>3.3987299999999998E-2</c:v>
                </c:pt>
                <c:pt idx="134" formatCode="General">
                  <c:v>-2.0790200000000002E-2</c:v>
                </c:pt>
                <c:pt idx="135" formatCode="General">
                  <c:v>-6.4102199999999998E-2</c:v>
                </c:pt>
                <c:pt idx="136" formatCode="General">
                  <c:v>-3.33665E-2</c:v>
                </c:pt>
                <c:pt idx="137" formatCode="General">
                  <c:v>3.3719100000000002E-2</c:v>
                </c:pt>
                <c:pt idx="138" formatCode="General">
                  <c:v>5.9535900000000003E-2</c:v>
                </c:pt>
                <c:pt idx="139" formatCode="General">
                  <c:v>2.8744100000000002E-2</c:v>
                </c:pt>
                <c:pt idx="140" formatCode="General">
                  <c:v>-9.0389600000000004E-3</c:v>
                </c:pt>
                <c:pt idx="141" formatCode="General">
                  <c:v>-4.7772599999999998E-2</c:v>
                </c:pt>
                <c:pt idx="142" formatCode="General">
                  <c:v>-3.0210899999999999E-2</c:v>
                </c:pt>
                <c:pt idx="143" formatCode="General">
                  <c:v>1.1919799999999999E-2</c:v>
                </c:pt>
                <c:pt idx="144" formatCode="General">
                  <c:v>-2.8419699999999999E-2</c:v>
                </c:pt>
                <c:pt idx="145" formatCode="General">
                  <c:v>-1.3433900000000001E-3</c:v>
                </c:pt>
                <c:pt idx="146" formatCode="General">
                  <c:v>4.3796700000000001E-2</c:v>
                </c:pt>
                <c:pt idx="147" formatCode="General">
                  <c:v>4.1751299999999998E-2</c:v>
                </c:pt>
                <c:pt idx="148" formatCode="General">
                  <c:v>5.4814399999999999E-2</c:v>
                </c:pt>
                <c:pt idx="149" formatCode="General">
                  <c:v>6.1435300000000003E-3</c:v>
                </c:pt>
                <c:pt idx="150" formatCode="General">
                  <c:v>-3.2435800000000001E-2</c:v>
                </c:pt>
                <c:pt idx="151" formatCode="General">
                  <c:v>-4.5721900000000003E-2</c:v>
                </c:pt>
                <c:pt idx="152" formatCode="General">
                  <c:v>-4.18848E-2</c:v>
                </c:pt>
                <c:pt idx="153" formatCode="General">
                  <c:v>1.2543E-2</c:v>
                </c:pt>
                <c:pt idx="154" formatCode="General">
                  <c:v>6.0603299999999999E-2</c:v>
                </c:pt>
                <c:pt idx="155" formatCode="General">
                  <c:v>7.3218000000000005E-2</c:v>
                </c:pt>
                <c:pt idx="156" formatCode="General">
                  <c:v>9.1528300000000007E-2</c:v>
                </c:pt>
                <c:pt idx="157" formatCode="General">
                  <c:v>5.9913099999999997E-2</c:v>
                </c:pt>
                <c:pt idx="158" formatCode="General">
                  <c:v>-4.2572499999999999E-2</c:v>
                </c:pt>
                <c:pt idx="159" formatCode="General">
                  <c:v>-8.8859199999999999E-2</c:v>
                </c:pt>
                <c:pt idx="160" formatCode="General">
                  <c:v>-0.103242</c:v>
                </c:pt>
                <c:pt idx="161" formatCode="General">
                  <c:v>-0.12053</c:v>
                </c:pt>
                <c:pt idx="162" formatCode="General">
                  <c:v>-5.3553799999999999E-2</c:v>
                </c:pt>
                <c:pt idx="163" formatCode="General">
                  <c:v>2.2939500000000002E-2</c:v>
                </c:pt>
                <c:pt idx="164" formatCode="General">
                  <c:v>9.3644699999999997E-2</c:v>
                </c:pt>
                <c:pt idx="165" formatCode="General">
                  <c:v>0.198827</c:v>
                </c:pt>
                <c:pt idx="166" formatCode="General">
                  <c:v>0.19478999999999999</c:v>
                </c:pt>
                <c:pt idx="167" formatCode="General">
                  <c:v>8.7193699999999999E-2</c:v>
                </c:pt>
                <c:pt idx="168" formatCode="General">
                  <c:v>-4.8100400000000001E-2</c:v>
                </c:pt>
                <c:pt idx="169" formatCode="General">
                  <c:v>-0.18376000000000001</c:v>
                </c:pt>
                <c:pt idx="170" formatCode="General">
                  <c:v>-0.20395199999999999</c:v>
                </c:pt>
                <c:pt idx="171" formatCode="General">
                  <c:v>-0.11876299999999999</c:v>
                </c:pt>
                <c:pt idx="172" formatCode="General">
                  <c:v>-1.29576E-2</c:v>
                </c:pt>
                <c:pt idx="173" formatCode="General">
                  <c:v>9.6922599999999998E-2</c:v>
                </c:pt>
                <c:pt idx="174" formatCode="General">
                  <c:v>0.14463999999999999</c:v>
                </c:pt>
                <c:pt idx="175" formatCode="General">
                  <c:v>0.124916</c:v>
                </c:pt>
                <c:pt idx="176" formatCode="General">
                  <c:v>5.1563299999999999E-2</c:v>
                </c:pt>
                <c:pt idx="177" formatCode="General">
                  <c:v>-5.8024899999999997E-2</c:v>
                </c:pt>
                <c:pt idx="178" formatCode="General">
                  <c:v>-0.12859000000000001</c:v>
                </c:pt>
                <c:pt idx="179" formatCode="General">
                  <c:v>-0.16288900000000001</c:v>
                </c:pt>
                <c:pt idx="180" formatCode="General">
                  <c:v>-0.13523499999999999</c:v>
                </c:pt>
                <c:pt idx="181" formatCode="General">
                  <c:v>-4.4652900000000002E-2</c:v>
                </c:pt>
                <c:pt idx="182" formatCode="General">
                  <c:v>5.54896E-2</c:v>
                </c:pt>
                <c:pt idx="183" formatCode="General">
                  <c:v>0.14580899999999999</c:v>
                </c:pt>
                <c:pt idx="184" formatCode="General">
                  <c:v>0.171573</c:v>
                </c:pt>
                <c:pt idx="185" formatCode="General">
                  <c:v>0.124657</c:v>
                </c:pt>
                <c:pt idx="186" formatCode="General">
                  <c:v>3.5136300000000002E-2</c:v>
                </c:pt>
                <c:pt idx="187" formatCode="General">
                  <c:v>-9.0043899999999996E-2</c:v>
                </c:pt>
                <c:pt idx="188" formatCode="General">
                  <c:v>-0.179094</c:v>
                </c:pt>
                <c:pt idx="189" formatCode="General">
                  <c:v>-0.190496</c:v>
                </c:pt>
                <c:pt idx="190" formatCode="General">
                  <c:v>-0.124165</c:v>
                </c:pt>
                <c:pt idx="191" formatCode="General">
                  <c:v>-5.76225E-3</c:v>
                </c:pt>
                <c:pt idx="192" formatCode="General">
                  <c:v>9.10411E-2</c:v>
                </c:pt>
                <c:pt idx="193" formatCode="General">
                  <c:v>0.14288899999999999</c:v>
                </c:pt>
                <c:pt idx="194" formatCode="General">
                  <c:v>0.122847</c:v>
                </c:pt>
                <c:pt idx="195" formatCode="General">
                  <c:v>5.5639399999999999E-2</c:v>
                </c:pt>
                <c:pt idx="196" formatCode="General">
                  <c:v>-1.6723999999999999E-2</c:v>
                </c:pt>
                <c:pt idx="197" formatCode="General">
                  <c:v>-9.6437999999999996E-2</c:v>
                </c:pt>
                <c:pt idx="198" formatCode="General">
                  <c:v>-0.1193</c:v>
                </c:pt>
                <c:pt idx="199" formatCode="General">
                  <c:v>-7.7746700000000002E-2</c:v>
                </c:pt>
                <c:pt idx="200" formatCode="General">
                  <c:v>3.62387E-3</c:v>
                </c:pt>
                <c:pt idx="201" formatCode="General">
                  <c:v>9.6761299999999995E-2</c:v>
                </c:pt>
                <c:pt idx="202" formatCode="General">
                  <c:v>0.14732999999999999</c:v>
                </c:pt>
                <c:pt idx="203" formatCode="General">
                  <c:v>0.14841799999999999</c:v>
                </c:pt>
                <c:pt idx="204" formatCode="General">
                  <c:v>9.7472799999999998E-2</c:v>
                </c:pt>
                <c:pt idx="205" formatCode="General">
                  <c:v>2.5902400000000002E-3</c:v>
                </c:pt>
                <c:pt idx="206" formatCode="General">
                  <c:v>-7.7810500000000005E-2</c:v>
                </c:pt>
                <c:pt idx="207" formatCode="General">
                  <c:v>-0.113193</c:v>
                </c:pt>
                <c:pt idx="208" formatCode="General">
                  <c:v>-9.9305599999999994E-2</c:v>
                </c:pt>
                <c:pt idx="209" formatCode="General">
                  <c:v>-4.5421499999999997E-2</c:v>
                </c:pt>
                <c:pt idx="210" formatCode="General">
                  <c:v>1.1166300000000001E-2</c:v>
                </c:pt>
                <c:pt idx="211" formatCode="General">
                  <c:v>5.1237100000000001E-2</c:v>
                </c:pt>
                <c:pt idx="212" formatCode="General">
                  <c:v>7.0426799999999998E-2</c:v>
                </c:pt>
                <c:pt idx="213" formatCode="General">
                  <c:v>5.5526600000000002E-2</c:v>
                </c:pt>
                <c:pt idx="214" formatCode="General">
                  <c:v>9.6737000000000004E-3</c:v>
                </c:pt>
                <c:pt idx="215" formatCode="General">
                  <c:v>-3.8071000000000001E-2</c:v>
                </c:pt>
                <c:pt idx="216" formatCode="General">
                  <c:v>-7.2970199999999999E-2</c:v>
                </c:pt>
                <c:pt idx="217" formatCode="General">
                  <c:v>-7.4484800000000004E-2</c:v>
                </c:pt>
                <c:pt idx="218" formatCode="General">
                  <c:v>-4.2904699999999997E-2</c:v>
                </c:pt>
                <c:pt idx="219" formatCode="General">
                  <c:v>-2.5546500000000002E-4</c:v>
                </c:pt>
                <c:pt idx="220" formatCode="General">
                  <c:v>3.4099900000000002E-2</c:v>
                </c:pt>
                <c:pt idx="221" formatCode="General">
                  <c:v>5.0661499999999998E-2</c:v>
                </c:pt>
                <c:pt idx="222" formatCode="General">
                  <c:v>5.6501799999999998E-2</c:v>
                </c:pt>
                <c:pt idx="223" formatCode="General">
                  <c:v>3.6991299999999998E-2</c:v>
                </c:pt>
                <c:pt idx="224" formatCode="General">
                  <c:v>-1.3099299999999999E-2</c:v>
                </c:pt>
                <c:pt idx="225" formatCode="General">
                  <c:v>-6.33354E-2</c:v>
                </c:pt>
                <c:pt idx="226" formatCode="General">
                  <c:v>-9.0004899999999999E-2</c:v>
                </c:pt>
                <c:pt idx="227" formatCode="General">
                  <c:v>-7.8379599999999994E-2</c:v>
                </c:pt>
                <c:pt idx="228" formatCode="General">
                  <c:v>-3.3709000000000003E-2</c:v>
                </c:pt>
                <c:pt idx="229" formatCode="General">
                  <c:v>2.2362799999999999E-2</c:v>
                </c:pt>
                <c:pt idx="230" formatCode="General">
                  <c:v>7.4493799999999999E-2</c:v>
                </c:pt>
                <c:pt idx="231" formatCode="General">
                  <c:v>0.100588</c:v>
                </c:pt>
                <c:pt idx="232" formatCode="General">
                  <c:v>8.9755699999999994E-2</c:v>
                </c:pt>
                <c:pt idx="233" formatCode="General">
                  <c:v>5.9894099999999999E-2</c:v>
                </c:pt>
                <c:pt idx="234" formatCode="General">
                  <c:v>5.0767299999999998E-3</c:v>
                </c:pt>
                <c:pt idx="235" formatCode="General">
                  <c:v>-6.1412599999999998E-2</c:v>
                </c:pt>
                <c:pt idx="236" formatCode="General">
                  <c:v>-9.5713900000000005E-2</c:v>
                </c:pt>
                <c:pt idx="237" formatCode="General">
                  <c:v>-8.0412600000000001E-2</c:v>
                </c:pt>
                <c:pt idx="238" formatCode="General">
                  <c:v>-3.0338299999999999E-2</c:v>
                </c:pt>
                <c:pt idx="239" formatCode="General">
                  <c:v>2.19659E-2</c:v>
                </c:pt>
                <c:pt idx="240" formatCode="General">
                  <c:v>4.8176099999999999E-2</c:v>
                </c:pt>
                <c:pt idx="241" formatCode="General">
                  <c:v>4.9126999999999997E-2</c:v>
                </c:pt>
                <c:pt idx="242" formatCode="General">
                  <c:v>3.0154899999999998E-2</c:v>
                </c:pt>
                <c:pt idx="243" formatCode="General">
                  <c:v>-6.0385899999999999E-3</c:v>
                </c:pt>
                <c:pt idx="244" formatCode="General">
                  <c:v>-3.7167899999999997E-2</c:v>
                </c:pt>
                <c:pt idx="245" formatCode="General">
                  <c:v>-4.6611699999999999E-2</c:v>
                </c:pt>
                <c:pt idx="246" formatCode="General">
                  <c:v>-3.05951E-2</c:v>
                </c:pt>
                <c:pt idx="247" formatCode="General">
                  <c:v>1.3658500000000001E-2</c:v>
                </c:pt>
                <c:pt idx="248" formatCode="General">
                  <c:v>6.6358700000000007E-2</c:v>
                </c:pt>
                <c:pt idx="249" formatCode="General">
                  <c:v>9.5760300000000007E-2</c:v>
                </c:pt>
                <c:pt idx="250" formatCode="General">
                  <c:v>9.0923799999999999E-2</c:v>
                </c:pt>
                <c:pt idx="251" formatCode="General">
                  <c:v>5.7353899999999999E-2</c:v>
                </c:pt>
                <c:pt idx="252" formatCode="General">
                  <c:v>-5.0511000000000002E-3</c:v>
                </c:pt>
                <c:pt idx="253" formatCode="General">
                  <c:v>-6.1103400000000002E-2</c:v>
                </c:pt>
                <c:pt idx="254" formatCode="General">
                  <c:v>-9.2884900000000006E-2</c:v>
                </c:pt>
                <c:pt idx="255" formatCode="General">
                  <c:v>-9.1660400000000003E-2</c:v>
                </c:pt>
                <c:pt idx="256" formatCode="General">
                  <c:v>-4.9389500000000003E-2</c:v>
                </c:pt>
                <c:pt idx="257" formatCode="General">
                  <c:v>-6.50856E-3</c:v>
                </c:pt>
                <c:pt idx="258" formatCode="General">
                  <c:v>2.17959E-2</c:v>
                </c:pt>
                <c:pt idx="259" formatCode="General">
                  <c:v>2.6199299999999998E-2</c:v>
                </c:pt>
                <c:pt idx="260" formatCode="General">
                  <c:v>5.63388E-3</c:v>
                </c:pt>
                <c:pt idx="261" formatCode="General">
                  <c:v>-1.50788E-2</c:v>
                </c:pt>
                <c:pt idx="262" formatCode="General">
                  <c:v>-3.4654499999999998E-2</c:v>
                </c:pt>
                <c:pt idx="263" formatCode="General">
                  <c:v>-4.2557999999999999E-2</c:v>
                </c:pt>
                <c:pt idx="264" formatCode="General">
                  <c:v>-2.83465E-2</c:v>
                </c:pt>
                <c:pt idx="265" formatCode="General">
                  <c:v>-1.2684600000000001E-2</c:v>
                </c:pt>
                <c:pt idx="266" formatCode="General">
                  <c:v>-2.5814700000000002E-3</c:v>
                </c:pt>
                <c:pt idx="267" formatCode="General">
                  <c:v>3.7876400000000001E-3</c:v>
                </c:pt>
                <c:pt idx="268" formatCode="General">
                  <c:v>2.6861099999999998E-3</c:v>
                </c:pt>
                <c:pt idx="269" formatCode="General">
                  <c:v>2.8754399999999999E-3</c:v>
                </c:pt>
                <c:pt idx="270" formatCode="General">
                  <c:v>7.3044099999999999E-3</c:v>
                </c:pt>
                <c:pt idx="271" formatCode="General">
                  <c:v>2.5721299999999999E-2</c:v>
                </c:pt>
                <c:pt idx="272" formatCode="General">
                  <c:v>5.3130900000000002E-2</c:v>
                </c:pt>
                <c:pt idx="273" formatCode="General">
                  <c:v>7.2488300000000006E-2</c:v>
                </c:pt>
                <c:pt idx="274" formatCode="General">
                  <c:v>8.2490400000000005E-2</c:v>
                </c:pt>
                <c:pt idx="275" formatCode="General">
                  <c:v>6.8299700000000005E-2</c:v>
                </c:pt>
                <c:pt idx="276" formatCode="General">
                  <c:v>2.60488E-2</c:v>
                </c:pt>
                <c:pt idx="277" formatCode="General">
                  <c:v>-2.1150200000000001E-2</c:v>
                </c:pt>
                <c:pt idx="278" formatCode="General">
                  <c:v>-5.9478000000000003E-2</c:v>
                </c:pt>
                <c:pt idx="279" formatCode="General">
                  <c:v>-7.5693099999999999E-2</c:v>
                </c:pt>
                <c:pt idx="280" formatCode="General">
                  <c:v>-6.4896099999999998E-2</c:v>
                </c:pt>
                <c:pt idx="281" formatCode="General">
                  <c:v>-3.9643100000000001E-2</c:v>
                </c:pt>
                <c:pt idx="282" formatCode="General">
                  <c:v>-5.8883900000000003E-3</c:v>
                </c:pt>
                <c:pt idx="283" formatCode="General">
                  <c:v>3.0495399999999999E-2</c:v>
                </c:pt>
                <c:pt idx="284" formatCode="General">
                  <c:v>5.94791E-2</c:v>
                </c:pt>
                <c:pt idx="285" formatCode="General">
                  <c:v>7.3528800000000005E-2</c:v>
                </c:pt>
                <c:pt idx="286" formatCode="General">
                  <c:v>6.8035899999999996E-2</c:v>
                </c:pt>
                <c:pt idx="287" formatCode="General">
                  <c:v>3.6210899999999997E-2</c:v>
                </c:pt>
                <c:pt idx="288" formatCode="General">
                  <c:v>-1.02548E-2</c:v>
                </c:pt>
                <c:pt idx="289" formatCode="General">
                  <c:v>-5.3434700000000002E-2</c:v>
                </c:pt>
                <c:pt idx="290" formatCode="General">
                  <c:v>-8.0931900000000001E-2</c:v>
                </c:pt>
                <c:pt idx="291" formatCode="General">
                  <c:v>-8.4375000000000006E-2</c:v>
                </c:pt>
                <c:pt idx="292" formatCode="General">
                  <c:v>-7.00992E-2</c:v>
                </c:pt>
                <c:pt idx="293" formatCode="General">
                  <c:v>-4.1331899999999998E-2</c:v>
                </c:pt>
                <c:pt idx="294" formatCode="General">
                  <c:v>-1.18873E-2</c:v>
                </c:pt>
                <c:pt idx="295" formatCode="General">
                  <c:v>4.7576099999999998E-3</c:v>
                </c:pt>
                <c:pt idx="296" formatCode="General">
                  <c:v>1.5762700000000001E-2</c:v>
                </c:pt>
              </c:numCache>
            </c:numRef>
          </c:yVal>
          <c:smooth val="0"/>
        </c:ser>
        <c:dLbls>
          <c:showLegendKey val="0"/>
          <c:showVal val="0"/>
          <c:showCatName val="0"/>
          <c:showSerName val="0"/>
          <c:showPercent val="0"/>
          <c:showBubbleSize val="0"/>
        </c:dLbls>
        <c:axId val="-964588976"/>
        <c:axId val="-964593872"/>
      </c:scatterChart>
      <c:valAx>
        <c:axId val="-964588976"/>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600" b="0" i="0" u="none" strike="noStrike" kern="1200" baseline="0">
                    <a:solidFill>
                      <a:schemeClr val="tx1">
                        <a:lumMod val="65000"/>
                        <a:lumOff val="35000"/>
                      </a:schemeClr>
                    </a:solidFill>
                    <a:latin typeface="+mn-ea"/>
                    <a:ea typeface="+mn-ea"/>
                    <a:cs typeface="+mn-cs"/>
                  </a:defRPr>
                </a:pPr>
                <a:r>
                  <a:rPr lang="zh-CN" altLang="en-US" sz="800" b="1">
                    <a:latin typeface="+mn-ea"/>
                    <a:ea typeface="+mn-ea"/>
                  </a:rPr>
                  <a:t>时间</a:t>
                </a:r>
                <a:r>
                  <a:rPr lang="en-US" altLang="zh-CN" sz="800" b="1">
                    <a:latin typeface="+mn-ea"/>
                    <a:ea typeface="+mn-ea"/>
                  </a:rPr>
                  <a:t>(s)</a:t>
                </a:r>
                <a:endParaRPr lang="zh-CN" altLang="en-US" sz="800" b="1">
                  <a:latin typeface="+mn-ea"/>
                  <a:ea typeface="+mn-ea"/>
                </a:endParaRPr>
              </a:p>
            </c:rich>
          </c:tx>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ea"/>
                  <a:ea typeface="+mn-ea"/>
                  <a:cs typeface="+mn-cs"/>
                </a:defRPr>
              </a:pPr>
              <a:endParaRPr lang="zh-CN"/>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zh-CN"/>
          </a:p>
        </c:txPr>
        <c:crossAx val="-964593872"/>
        <c:crosses val="autoZero"/>
        <c:crossBetween val="midCat"/>
      </c:valAx>
      <c:valAx>
        <c:axId val="-964593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ea"/>
                    <a:ea typeface="+mn-ea"/>
                    <a:cs typeface="+mn-cs"/>
                  </a:defRPr>
                </a:pPr>
                <a:r>
                  <a:rPr lang="zh-CN" altLang="en-US" sz="800" b="1">
                    <a:latin typeface="+mn-ea"/>
                    <a:ea typeface="+mn-ea"/>
                  </a:rPr>
                  <a:t>位移</a:t>
                </a:r>
                <a:r>
                  <a:rPr lang="en-US" altLang="zh-CN" sz="800">
                    <a:latin typeface="+mn-ea"/>
                    <a:ea typeface="+mn-ea"/>
                  </a:rPr>
                  <a:t>(m)</a:t>
                </a:r>
                <a:endParaRPr lang="zh-CN" altLang="en-US" sz="800">
                  <a:latin typeface="+mn-ea"/>
                  <a:ea typeface="+mn-ea"/>
                </a:endParaRP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ea"/>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zh-CN"/>
          </a:p>
        </c:txPr>
        <c:crossAx val="-964588976"/>
        <c:crosses val="autoZero"/>
        <c:crossBetween val="midCat"/>
      </c:valAx>
      <c:spPr>
        <a:noFill/>
        <a:ln>
          <a:noFill/>
        </a:ln>
        <a:effectLst/>
      </c:spPr>
    </c:plotArea>
    <c:legend>
      <c:legendPos val="b"/>
      <c:layout>
        <c:manualLayout>
          <c:xMode val="edge"/>
          <c:yMode val="edge"/>
          <c:x val="3.4650455927051675E-2"/>
          <c:y val="0.11817626570263624"/>
          <c:w val="0.47818798486055503"/>
          <c:h val="0.2709057594215817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ea"/>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75065-C427-4133-B10F-2F5B7AE8D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10135</TotalTime>
  <Pages>6</Pages>
  <Words>1398</Words>
  <Characters>7974</Characters>
  <Application>Microsoft Office Word</Application>
  <DocSecurity>0</DocSecurity>
  <Lines>66</Lines>
  <Paragraphs>18</Paragraphs>
  <ScaleCrop>false</ScaleCrop>
  <Company>Sky123.Org</Company>
  <LinksUpToDate>false</LinksUpToDate>
  <CharactersWithSpaces>9354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bg5hot</dc:creator>
  <cp:lastModifiedBy>钱路曦</cp:lastModifiedBy>
  <cp:revision>637</cp:revision>
  <cp:lastPrinted>2021-01-08T13:11:00Z</cp:lastPrinted>
  <dcterms:created xsi:type="dcterms:W3CDTF">2020-02-25T01:45:00Z</dcterms:created>
  <dcterms:modified xsi:type="dcterms:W3CDTF">2021-01-08T13:23:00Z</dcterms:modified>
</cp:coreProperties>
</file>