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第25次交付验收报告：导师整改与 PDF 参数落实</w:t>
      </w:r>
    </w:p>
    <w:p>
      <w:r>
        <w:t>2026-10-13（UTC）。受测最终代码提交：5b7a21655074975b2b4705d9ccf4c9df86d94c59。最终GitHub交付会在该代码上追加本报告与验收档案；代码内容保持一致。</w:t>
      </w:r>
    </w:p>
    <w:p>
      <w:r>
        <w:t>本轮完成必要整改及用户PDF参数落实，未扩展模型、美化、流式或额外场景。导师候选工程链路已准备；人工语义和非脚本体验尚未验收，导师测试未放行。</w:t>
      </w:r>
    </w:p>
    <w:p>
      <w:pPr>
        <w:pStyle w:val="Heading2"/>
      </w:pPr>
      <w:r>
        <w:t>1. 实际修改范围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修改理由与影响</w:t>
            </w:r>
          </w:p>
        </w:tc>
      </w:tr>
      <w:tr>
        <w:tc>
          <w:tcPr>
            <w:tcW w:type="dxa" w:w="4320"/>
          </w:tcPr>
          <w:p>
            <w:r>
              <w:t>research/mentor-test-v1.json</w:t>
            </w:r>
          </w:p>
        </w:tc>
        <w:tc>
          <w:tcPr>
            <w:tcW w:type="dxa" w:w="4320"/>
          </w:tcPr>
          <w:p>
            <w:r>
              <w:t>用户量表/轮次/角色/场景/结束与兜底边界，作为版本化配置</w:t>
            </w:r>
          </w:p>
        </w:tc>
      </w:tr>
      <w:tr>
        <w:tc>
          <w:tcPr>
            <w:tcW w:type="dxa" w:w="4320"/>
          </w:tcPr>
          <w:p>
            <w:r>
              <w:t>apps/api/src/services/research-profile.ts</w:t>
            </w:r>
          </w:p>
        </w:tc>
        <w:tc>
          <w:tcPr>
            <w:tcW w:type="dxa" w:w="4320"/>
          </w:tcPr>
          <w:p>
            <w:r>
              <w:t>当前阶段语言政策、有效输入分类、评分/轮次规则；不向模型传完整流程</w:t>
            </w:r>
          </w:p>
        </w:tc>
      </w:tr>
      <w:tr>
        <w:tc>
          <w:tcPr>
            <w:tcW w:type="dxa" w:w="4320"/>
          </w:tcPr>
          <w:p>
            <w:r>
              <w:t>apps/api/src/services/experiment-service.ts、repositories/experiment-repository.ts</w:t>
            </w:r>
          </w:p>
        </w:tc>
        <w:tc>
          <w:tcPr>
            <w:tcW w:type="dxa" w:w="4320"/>
          </w:tcPr>
          <w:p>
            <w:r>
              <w:t>新模板显式选择导师配置，冻结条件政策，旧分配不变</w:t>
            </w:r>
          </w:p>
        </w:tc>
      </w:tr>
      <w:tr>
        <w:tc>
          <w:tcPr>
            <w:tcW w:type="dxa" w:w="4320"/>
          </w:tcPr>
          <w:p>
            <w:r>
              <w:t>apps/api/src/services/participant-service.ts</w:t>
            </w:r>
          </w:p>
        </w:tc>
        <w:tc>
          <w:tcPr>
            <w:tcW w:type="dxa" w:w="4320"/>
          </w:tcPr>
          <w:p>
            <w:r>
              <w:t>统一评分投影和范围验证、最少轮次、已识别流程询问不作为剧情填写</w:t>
            </w:r>
          </w:p>
        </w:tc>
      </w:tr>
      <w:tr>
        <w:tc>
          <w:tcPr>
            <w:tcW w:type="dxa" w:w="4320"/>
          </w:tcPr>
          <w:p>
            <w:r>
              <w:t>apps/api/src/services/conversation-service.ts</w:t>
            </w:r>
          </w:p>
        </w:tc>
        <w:tc>
          <w:tcPr>
            <w:tcW w:type="dxa" w:w="4320"/>
          </w:tcPr>
          <w:p>
            <w:r>
              <w:t>最多轮次、固定开场/告别、桥接、元询问回应、后端合法上限/中性转场、来源记录</w:t>
            </w:r>
          </w:p>
        </w:tc>
      </w:tr>
      <w:tr>
        <w:tc>
          <w:tcPr>
            <w:tcW w:type="dxa" w:w="4320"/>
          </w:tcPr>
          <w:p>
            <w:r>
              <w:t>apps/api/src/services/research-variables.ts</w:t>
            </w:r>
          </w:p>
        </w:tc>
        <w:tc>
          <w:tcPr>
            <w:tcW w:type="dxa" w:w="4320"/>
          </w:tcPr>
          <w:p>
            <w:r>
              <w:t>导师角色/场景变量来自固定配置与参与者补充，旧版本保持原语义</w:t>
            </w:r>
          </w:p>
        </w:tc>
      </w:tr>
      <w:tr>
        <w:tc>
          <w:tcPr>
            <w:tcW w:type="dxa" w:w="4320"/>
          </w:tcPr>
          <w:p>
            <w:r>
              <w:t>apps/api/src/repositories/conversation-repository.ts、services/admin-service.ts</w:t>
            </w:r>
          </w:p>
        </w:tc>
        <w:tc>
          <w:tcPr>
            <w:tcW w:type="dxa" w:w="4320"/>
          </w:tcPr>
          <w:p>
            <w:r>
              <w:t>有效轮次查询、回复来源、完整快照导出/数量/配置/定义/回合，诊断显示仍限量</w:t>
            </w:r>
          </w:p>
        </w:tc>
      </w:tr>
      <w:tr>
        <w:tc>
          <w:tcPr>
            <w:tcW w:type="dxa" w:w="4320"/>
          </w:tcPr>
          <w:p>
            <w:r>
              <w:t>apps/api/src/acceptance/business-acceptance.ts</w:t>
            </w:r>
          </w:p>
        </w:tc>
        <w:tc>
          <w:tcPr>
            <w:tcW w:type="dxa" w:w="4320"/>
          </w:tcPr>
          <w:p>
            <w:r>
              <w:t>旧验收工具也要求complete=true，不再硬编码限量导出</w:t>
            </w:r>
          </w:p>
        </w:tc>
      </w:tr>
      <w:tr>
        <w:tc>
          <w:tcPr>
            <w:tcW w:type="dxa" w:w="4320"/>
          </w:tcPr>
          <w:p>
            <w:r>
              <w:t>apps/api/acceptance/mentor-profile-e2e.ts</w:t>
            </w:r>
          </w:p>
        </w:tc>
        <w:tc>
          <w:tcPr>
            <w:tcW w:type="dxa" w:w="4320"/>
          </w:tcPr>
          <w:p>
            <w:r>
              <w:t>冻结配置的隔离真实/本地链路，逐轮重放检查与失败留档</w:t>
            </w:r>
          </w:p>
        </w:tc>
      </w:tr>
      <w:tr>
        <w:tc>
          <w:tcPr>
            <w:tcW w:type="dxa" w:w="4320"/>
          </w:tcPr>
          <w:p>
            <w:r>
              <w:t>apps/web/src/RatingCard.tsx、Participant.tsx、packages/contracts/src/index.ts</w:t>
            </w:r>
          </w:p>
        </w:tc>
        <w:tc>
          <w:tcPr>
            <w:tcW w:type="dxa" w:w="4320"/>
          </w:tcPr>
          <w:p>
            <w:r>
              <w:t>两次同评分卡及最小契约变更、整数范围、生成等待清理</w:t>
            </w:r>
          </w:p>
        </w:tc>
      </w:tr>
      <w:tr>
        <w:tc>
          <w:tcPr>
            <w:tcW w:type="dxa" w:w="4320"/>
          </w:tcPr>
          <w:p>
            <w:r>
              <w:t>apps/web/src/api.ts、Admin.tsx</w:t>
            </w:r>
          </w:p>
        </w:tc>
        <w:tc>
          <w:tcPr>
            <w:tcW w:type="dxa" w:w="4320"/>
          </w:tcPr>
          <w:p>
            <w:r>
              <w:t>截止/取消/恢复提示，完整导出说明</w:t>
            </w:r>
          </w:p>
        </w:tc>
      </w:tr>
      <w:tr>
        <w:tc>
          <w:tcPr>
            <w:tcW w:type="dxa" w:w="4320"/>
          </w:tcPr>
          <w:p>
            <w:r>
              <w:t>apps/api/tests/business.test.ts、client-deadline.test.ts、apps/web/tests/browser.spec.ts</w:t>
            </w:r>
          </w:p>
        </w:tc>
        <w:tc>
          <w:tcPr>
            <w:tcW w:type="dxa" w:w="4320"/>
          </w:tcPr>
          <w:p>
            <w:r>
              <w:t>配置隔离、评分、轮次、元询问、合法自动转场、三轮不同兜底、完整导出、超时及评分卡行为验证</w:t>
            </w:r>
          </w:p>
        </w:tc>
      </w:tr>
    </w:tbl>
    <w:p>
      <w:r>
        <w:t>共19个代码/配置文件变更，另有README/docs。本轮未改experiment-core、AI Orchestrator、基础Prompt装配器、Validator、Model Adapter、数据库迁移、依赖或锁文件；没有接触WorkBuddy。共享服务覆盖三路径回归，日常控制条件未加干预。</w:t>
      </w:r>
    </w:p>
    <w:p>
      <w:pPr>
        <w:pStyle w:val="Heading2"/>
      </w:pPr>
      <w:r>
        <w:t>2. 逐项验收判定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标准</w:t>
            </w:r>
          </w:p>
        </w:tc>
        <w:tc>
          <w:tcPr>
            <w:tcW w:type="dxa" w:w="2880"/>
          </w:tcPr>
          <w:p>
            <w:r>
              <w:t>实际结果</w:t>
            </w:r>
          </w:p>
        </w:tc>
        <w:tc>
          <w:tcPr>
            <w:tcW w:type="dxa" w:w="2880"/>
          </w:tcPr>
          <w:p>
            <w:r>
              <w:t>判定</w:t>
            </w:r>
          </w:p>
        </w:tc>
      </w:tr>
      <w:tr>
        <w:tc>
          <w:tcPr>
            <w:tcW w:type="dxa" w:w="2880"/>
          </w:tcPr>
          <w:p>
            <w:r>
              <w:t>参数/版本可复现</w:t>
            </w:r>
          </w:p>
        </w:tc>
        <w:tc>
          <w:tcPr>
            <w:tcW w:type="dxa" w:w="2880"/>
          </w:tcPr>
          <w:p>
            <w:r>
              <w:t>research_config入库并绑定新分配；配置/政策哈希和代码SHA留存；旧分配不变</w:t>
            </w:r>
          </w:p>
        </w:tc>
        <w:tc>
          <w:tcPr>
            <w:tcW w:type="dxa" w:w="2880"/>
          </w:tcPr>
          <w:p>
            <w:r>
              <w:t>工程通过，导师发布审批仍待人工</w:t>
            </w:r>
          </w:p>
        </w:tc>
      </w:tr>
      <w:tr>
        <w:tc>
          <w:tcPr>
            <w:tcW w:type="dxa" w:w="2880"/>
          </w:tcPr>
          <w:p>
            <w:r>
              <w:t>两次统一量表且必答</w:t>
            </w:r>
          </w:p>
        </w:tc>
        <w:tc>
          <w:tcPr>
            <w:tcW w:type="dxa" w:w="2880"/>
          </w:tcPr>
          <w:p>
            <w:r>
              <w:t>0–100整数、步长1、固定提示/锚点；同确认对象；越界/小数/缺失不能推进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程序轮次守卫</w:t>
            </w:r>
          </w:p>
        </w:tc>
        <w:tc>
          <w:tcPr>
            <w:tcW w:type="dxa" w:w="2880"/>
          </w:tcPr>
          <w:p>
            <w:r>
              <w:t>未达最少拒绝；最大开放次数有限；无信息中性转场记录backend/missing_data；评分/确认不补造</w:t>
            </w:r>
          </w:p>
        </w:tc>
        <w:tc>
          <w:tcPr>
            <w:tcW w:type="dxa" w:w="2880"/>
          </w:tcPr>
          <w:p>
            <w:r>
              <w:t>通过；语义有效信息由有限规则识别，仍需自然输入审核</w:t>
            </w:r>
          </w:p>
        </w:tc>
      </w:tr>
      <w:tr>
        <w:tc>
          <w:tcPr>
            <w:tcW w:type="dxa" w:w="2880"/>
          </w:tcPr>
          <w:p>
            <w:r>
              <w:t>认知重构顺序</w:t>
            </w:r>
          </w:p>
        </w:tc>
        <w:tc>
          <w:tcPr>
            <w:tcW w:type="dxa" w:w="2880"/>
          </w:tcPr>
          <w:p>
            <w:r>
              <w:t>真实20轮走全部四重构；合法状态事件10，观测非法迁移0</w:t>
            </w:r>
          </w:p>
        </w:tc>
        <w:tc>
          <w:tcPr>
            <w:tcW w:type="dxa" w:w="2880"/>
          </w:tcPr>
          <w:p>
            <w:r>
              <w:t>流程通过；语言效果待人工</w:t>
            </w:r>
          </w:p>
        </w:tc>
      </w:tr>
      <w:tr>
        <w:tc>
          <w:tcPr>
            <w:tcW w:type="dxa" w:w="2880"/>
          </w:tcPr>
          <w:p>
            <w:r>
              <w:t>情感固定流程</w:t>
            </w:r>
          </w:p>
        </w:tc>
        <w:tc>
          <w:tcPr>
            <w:tcW w:type="dxa" w:w="2880"/>
          </w:tcPr>
          <w:p>
            <w:r>
              <w:t>固定人物、四场景、当前桥接、收尾；真实14轮，其中故事11轮；8合法事件</w:t>
            </w:r>
          </w:p>
        </w:tc>
        <w:tc>
          <w:tcPr>
            <w:tcW w:type="dxa" w:w="2880"/>
          </w:tcPr>
          <w:p>
            <w:r>
              <w:t>工程通过；任意输入的场景/身份语义待人工</w:t>
            </w:r>
          </w:p>
        </w:tc>
      </w:tr>
      <w:tr>
        <w:tc>
          <w:tcPr>
            <w:tcW w:type="dxa" w:w="2880"/>
          </w:tcPr>
          <w:p>
            <w:r>
              <w:t>无无限等待/恢复</w:t>
            </w:r>
          </w:p>
        </w:tc>
        <w:tc>
          <w:tcPr>
            <w:tcW w:type="dxa" w:w="2880"/>
          </w:tcPr>
          <w:p>
            <w:r>
              <w:t>请求/响应体截止、取消、总轮询停止、同ID恢复、租约/进程/重载回归</w:t>
            </w:r>
          </w:p>
        </w:tc>
        <w:tc>
          <w:tcPr>
            <w:tcW w:type="dxa" w:w="2880"/>
          </w:tcPr>
          <w:p>
            <w:r>
              <w:t>工程通过；连续真实服务稳定性待采样</w:t>
            </w:r>
          </w:p>
        </w:tc>
      </w:tr>
      <w:tr>
        <w:tc>
          <w:tcPr>
            <w:tcW w:type="dxa" w:w="2880"/>
          </w:tcPr>
          <w:p>
            <w:r>
              <w:t>状态可追踪</w:t>
            </w:r>
          </w:p>
        </w:tc>
        <w:tc>
          <w:tcPr>
            <w:tcW w:type="dxa" w:w="2880"/>
          </w:tcPr>
          <w:p>
            <w:r>
              <w:t>管理员鉴权、只读状态/事件/耗时/异常/来源；不暴露参与者内部状态</w:t>
            </w:r>
          </w:p>
        </w:tc>
        <w:tc>
          <w:tcPr>
            <w:tcW w:type="dxa" w:w="2880"/>
          </w:tcPr>
          <w:p>
            <w:r>
              <w:t>通过基础追踪，未美化</w:t>
            </w:r>
          </w:p>
        </w:tc>
      </w:tr>
      <w:tr>
        <w:tc>
          <w:tcPr>
            <w:tcW w:type="dxa" w:w="2880"/>
          </w:tcPr>
          <w:p>
            <w:r>
              <w:t>完整对话导出</w:t>
            </w:r>
          </w:p>
        </w:tc>
        <w:tc>
          <w:tcPr>
            <w:tcW w:type="dxa" w:w="2880"/>
          </w:tcPr>
          <w:p>
            <w:r>
              <w:t>1010源库消息=1010导出，逐条id/内容/顺序相同；快照包含配置/状态/变量/模型日志/回合</w:t>
            </w:r>
          </w:p>
        </w:tc>
        <w:tc>
          <w:tcPr>
            <w:tcW w:type="dxa" w:w="2880"/>
          </w:tcPr>
          <w:p>
            <w:r>
              <w:t>工程通过；同步JSON大规模容量未验收</w:t>
            </w:r>
          </w:p>
        </w:tc>
      </w:tr>
      <w:tr>
        <w:tc>
          <w:tcPr>
            <w:tcW w:type="dxa" w:w="2880"/>
          </w:tcPr>
          <w:p>
            <w:r>
              <w:t>人工语言评分/非脚本体验</w:t>
            </w:r>
          </w:p>
        </w:tc>
        <w:tc>
          <w:tcPr>
            <w:tcW w:type="dxa" w:w="2880"/>
          </w:tcPr>
          <w:p>
            <w:r>
              <w:t>尚未执行，评分值为空</w:t>
            </w:r>
          </w:p>
        </w:tc>
        <w:tc>
          <w:tcPr>
            <w:tcW w:type="dxa" w:w="2880"/>
          </w:tcPr>
          <w:p>
            <w:r>
              <w:t>未通过放行门禁</w:t>
            </w:r>
          </w:p>
        </w:tc>
      </w:tr>
    </w:tbl>
    <w:p>
      <w:r>
        <w:t>总体mentor_test_ready=false、pilot_ready=false、formal_ready=false。没有发放导师账号、邀请测试、部署正式实验或采集真实参与者。真实测试账号仅在临时隔离数据库中创建并清理。</w:t>
      </w:r>
    </w:p>
    <w:p>
      <w:pPr>
        <w:pStyle w:val="Heading2"/>
      </w:pPr>
      <w:r>
        <w:t>3. 最终真实调用结果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API/model身份</w:t>
            </w:r>
          </w:p>
        </w:tc>
        <w:tc>
          <w:tcPr>
            <w:tcW w:type="dxa" w:w="4320"/>
          </w:tcPr>
          <w:p>
            <w:r>
              <w:t>最终37次外部请求均HTTP200、响应deepseek-flash；内部供应商revision仍未知</w:t>
            </w:r>
          </w:p>
        </w:tc>
      </w:tr>
      <w:tr>
        <w:tc>
          <w:tcPr>
            <w:tcW w:type="dxa" w:w="4320"/>
          </w:tcPr>
          <w:p>
            <w:r>
              <w:t>HTTP请求耗时</w:t>
            </w:r>
          </w:p>
        </w:tc>
        <w:tc>
          <w:tcPr>
            <w:tcW w:type="dxa" w:w="4320"/>
          </w:tcPr>
          <w:p>
            <w:r>
              <w:t>P50 4636.70ms，P95 5193.83ms，最大5231.06ms；含读完响应体，不是首token</w:t>
            </w:r>
          </w:p>
        </w:tc>
      </w:tr>
      <w:tr>
        <w:tc>
          <w:tcPr>
            <w:tcW w:type="dxa" w:w="4320"/>
          </w:tcPr>
          <w:p>
            <w:r>
              <w:t>认知数据</w:t>
            </w:r>
          </w:p>
        </w:tc>
        <w:tc>
          <w:tcPr>
            <w:tcW w:type="dxa" w:w="4320"/>
          </w:tcPr>
          <w:p>
            <w:r>
              <w:t>20有效互动轮，40消息，10事件，终态COMPLETED；7重试、4兜底；原因含BELIEF_ANCHOR_MISSING、EMPTY_REPLY</w:t>
            </w:r>
          </w:p>
        </w:tc>
      </w:tr>
      <w:tr>
        <w:tc>
          <w:tcPr>
            <w:tcW w:type="dxa" w:w="4320"/>
          </w:tcPr>
          <w:p>
            <w:r>
              <w:t>情感数据</w:t>
            </w:r>
          </w:p>
        </w:tc>
        <w:tc>
          <w:tcPr>
            <w:tcW w:type="dxa" w:w="4320"/>
          </w:tcPr>
          <w:p>
            <w:r>
              <w:t>14轮，28消息，8事件，终态COMPLETED；其中人物2/故事11/收尾1，重试0、兜底0</w:t>
            </w:r>
          </w:p>
        </w:tc>
      </w:tr>
      <w:tr>
        <w:tc>
          <w:tcPr>
            <w:tcW w:type="dxa" w:w="4320"/>
          </w:tcPr>
          <w:p>
            <w:r>
              <w:t>所有消息重放</w:t>
            </w:r>
          </w:p>
        </w:tc>
        <w:tc>
          <w:tcPr>
            <w:tcW w:type="dxa" w:w="4320"/>
          </w:tcPr>
          <w:p>
            <w:r>
              <w:t>响应相同，无额外外部调用；含上限自动转场后的重放</w:t>
            </w:r>
          </w:p>
        </w:tc>
      </w:tr>
      <w:tr>
        <w:tc>
          <w:tcPr>
            <w:tcW w:type="dxa" w:w="4320"/>
          </w:tcPr>
          <w:p>
            <w:r>
              <w:t>状态/导出/代码</w:t>
            </w:r>
          </w:p>
        </w:tc>
        <w:tc>
          <w:tcPr>
            <w:tcW w:type="dxa" w:w="4320"/>
          </w:tcPr>
          <w:p>
            <w:r>
              <w:t>观测非法迁移0；两路径complete=true、数据质量通过；所有run.code_commit为5b7a21655074975b2b4705d9ccf4c9df86d94c59</w:t>
            </w:r>
          </w:p>
        </w:tc>
      </w:tr>
    </w:tbl>
    <w:p>
      <w:r>
        <w:t>这是一批合成中文口语输入，既非真实参与者，也不是研究者非脚本自由体验。认知4次兜底需审核是否充分完成该阶段任务；不将“被校验保护”当作“原模型输出正常”。没有填入人工语言分数。</w:t>
      </w:r>
    </w:p>
    <w:p>
      <w:pPr>
        <w:pStyle w:val="Heading2"/>
      </w:pPr>
      <w:r>
        <w:t>4. 已保留的中间问题</w:t>
      </w:r>
    </w:p>
    <w:p>
      <w:r>
        <w:t>本轮真实调用共90次：早期两路径完成29次；中间一次受阻24次；最终冻结版本完成37次。中间失败为GENERATION_NOT_READY，HTTP200不等于可用回复。旧脚本没保留该失败路径完整快照，无法确认单一根因，本轮已修补后续失败留档。</w:t>
      </w:r>
    </w:p>
    <w:p>
      <w:r>
        <w:t>发现并修复确定的容量不足：三轮重构只有两候选，可能因重复全部耗尽。补足当前阶段内容不同的候选并用连续无效输出证明三轮都可恢复；没有降低Validator断言。另有初次新增测试类型错误、评分提示重复回归及归档JSON格式问题，均修复后最终检查通过，历史尝试保留。</w:t>
      </w:r>
    </w:p>
    <w:p>
      <w:pPr>
        <w:pStyle w:val="Heading2"/>
      </w:pPr>
      <w:r>
        <w:t>5. 自动化与实物证据</w:t>
      </w:r>
    </w:p>
    <w:p>
      <w:r>
        <w:t>448项Vitest、18项Playwright最终通过，失败/跳过0、flaky0；typecheck、lint、format、build退出0。隔离PostgreSQL17.7、Chromium和Mock/本地HTTP验证与真正外部调用分别留档，不混同。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成果</w:t>
            </w:r>
          </w:p>
        </w:tc>
        <w:tc>
          <w:tcPr>
            <w:tcW w:type="dxa" w:w="4320"/>
          </w:tcPr>
          <w:p>
            <w:r>
              <w:t>链接</w:t>
            </w:r>
          </w:p>
        </w:tc>
      </w:tr>
      <w:tr>
        <w:tc>
          <w:tcPr>
            <w:tcW w:type="dxa" w:w="4320"/>
          </w:tcPr>
          <w:p>
            <w:r>
              <w:t>本轮反馈</w:t>
            </w:r>
          </w:p>
        </w:tc>
        <w:tc>
          <w:tcPr>
            <w:tcW w:type="dxa" w:w="4320"/>
          </w:tcPr>
          <w:p>
            <w:r>
              <w:t>Markdown（twenty-fifth-round-feedback.md） / Word（twenty-fifth-round-feedback.docx）</w:t>
            </w:r>
          </w:p>
        </w:tc>
      </w:tr>
      <w:tr>
        <w:tc>
          <w:tcPr>
            <w:tcW w:type="dxa" w:w="4320"/>
          </w:tcPr>
          <w:p>
            <w:r>
              <w:t>PDF落实反馈</w:t>
            </w:r>
          </w:p>
        </w:tc>
        <w:tc>
          <w:tcPr>
            <w:tcW w:type="dxa" w:w="4320"/>
          </w:tcPr>
          <w:p>
            <w:r>
              <w:t>Markdown（mentor-parameters-freeze-feedback.md） / Word（mentor-parameters-freeze-feedback.docx）</w:t>
            </w:r>
          </w:p>
        </w:tc>
      </w:tr>
      <w:tr>
        <w:tc>
          <w:tcPr>
            <w:tcW w:type="dxa" w:w="4320"/>
          </w:tcPr>
          <w:p>
            <w:r>
              <w:t>本验收报告</w:t>
            </w:r>
          </w:p>
        </w:tc>
        <w:tc>
          <w:tcPr>
            <w:tcW w:type="dxa" w:w="4320"/>
          </w:tcPr>
          <w:p>
            <w:r>
              <w:t>Markdown（twenty-fifth-round-delivery-report.md） / Word（twenty-fifth-round-delivery-report.docx）</w:t>
            </w:r>
          </w:p>
        </w:tc>
      </w:tr>
      <w:tr>
        <w:tc>
          <w:tcPr>
            <w:tcW w:type="dxa" w:w="4320"/>
          </w:tcPr>
          <w:p>
            <w:r>
              <w:t>两份原始输入</w:t>
            </w:r>
          </w:p>
        </w:tc>
        <w:tc>
          <w:tcPr>
            <w:tcW w:type="dxa" w:w="4320"/>
          </w:tcPr>
          <w:p>
            <w:r>
              <w:t>DOCX（inputs/round25-mentor-remediation-requirements.docx） / PDF（inputs/round25-mentor-parameters.pdf）</w:t>
            </w:r>
          </w:p>
        </w:tc>
      </w:tr>
      <w:tr>
        <w:tc>
          <w:tcPr>
            <w:tcW w:type="dxa" w:w="4320"/>
          </w:tcPr>
          <w:p>
            <w:r>
              <w:t>真实原始记录与指标</w:t>
            </w:r>
          </w:p>
        </w:tc>
        <w:tc>
          <w:tcPr>
            <w:tcW w:type="dxa" w:w="4320"/>
          </w:tcPr>
          <w:p>
            <w:r>
              <w:t>最终完整记录（acceptance/step6-round25/mentor-profile-real-e2e.json） / 指标与历史尝试（acceptance/step6-round25/real-acceptance-metrics.json）</w:t>
            </w:r>
          </w:p>
        </w:tc>
      </w:tr>
      <w:tr>
        <w:tc>
          <w:tcPr>
            <w:tcW w:type="dxa" w:w="4320"/>
          </w:tcPr>
          <w:p>
            <w:r>
              <w:t>程序/浏览器证据</w:t>
            </w:r>
          </w:p>
        </w:tc>
        <w:tc>
          <w:tcPr>
            <w:tcW w:type="dxa" w:w="4320"/>
          </w:tcPr>
          <w:p>
            <w:r>
              <w:t>Vitest（acceptance/step6-round25/test-results.json）、Playwright（acceptance/step6-round25/browser-results.json）、命令（acceptance/step6-round25/engineering-checks.json）</w:t>
            </w:r>
          </w:p>
        </w:tc>
      </w:tr>
      <w:tr>
        <w:tc>
          <w:tcPr>
            <w:tcW w:type="dxa" w:w="4320"/>
          </w:tcPr>
          <w:p>
            <w:r>
              <w:t>针对性实物</w:t>
            </w:r>
          </w:p>
        </w:tc>
        <w:tc>
          <w:tcPr>
            <w:tcW w:type="dxa" w:w="4320"/>
          </w:tcPr>
          <w:p>
            <w:r>
              <w:t>1010消息源库对比（acceptance/step6-round25/complete-export-acceptance.json）、三不同兜底（acceptance/step6-round25/mentor-distinct-fallbacks.json）、评分卡截图（acceptance/step6-round25/mentor-unified-rating-card.png）</w:t>
            </w:r>
          </w:p>
        </w:tc>
      </w:tr>
      <w:tr>
        <w:tc>
          <w:tcPr>
            <w:tcW w:type="dxa" w:w="4320"/>
          </w:tcPr>
          <w:p>
            <w:r>
              <w:t>版本/门禁/文件完整性</w:t>
            </w:r>
          </w:p>
        </w:tc>
        <w:tc>
          <w:tcPr>
            <w:tcW w:type="dxa" w:w="4320"/>
          </w:tcPr>
          <w:p>
            <w:r>
              <w:t>发布候选清单（acceptance/step6-round25/release-manifest.json）、门禁（acceptance/step6-round25/mentor-gates.json）、校验（acceptance/step6-round25/delivery-validation.json）</w:t>
            </w:r>
          </w:p>
        </w:tc>
      </w:tr>
      <w:tr>
        <w:tc>
          <w:tcPr>
            <w:tcW w:type="dxa" w:w="4320"/>
          </w:tcPr>
          <w:p>
            <w:r>
              <w:t>下一步人工工作</w:t>
            </w:r>
          </w:p>
        </w:tc>
        <w:tc>
          <w:tcPr>
            <w:tcW w:type="dxa" w:w="4320"/>
          </w:tcPr>
          <w:p>
            <w:r>
              <w:t>审核清单（mentor-human-review-checklist.md）</w:t>
            </w:r>
          </w:p>
        </w:tc>
      </w:tr>
    </w:tbl>
    <w:p>
      <w:r>
        <w:t>本轮9张浏览器截图均为合成Mock账号的真实页面渲染，不能说成真实模型或导师体验截图。完整导出不截断；后台查询与诊断仍是每类1000条、complete=false的显示视图。</w:t>
      </w:r>
    </w:p>
    <w:p>
      <w:pPr>
        <w:pStyle w:val="Heading2"/>
      </w:pPr>
      <w:r>
        <w:t>6. 下载与后续</w:t>
      </w:r>
    </w:p>
    <w:p>
      <w:r>
        <w:t>最终GitHub固定提交ZIP包括受版本控制的整个项目、本轮三份反馈/报告Word、原始DOCX/PDF、JSON/截图和历史成果。解压后先读docs/twenty-fifth-round-delivery-report.docx与docs/mentor-parameters-freeze-feedback.docx；网页可直接读Markdown。</w:t>
      </w:r>
    </w:p>
    <w:p>
      <w:r>
        <w:t>后续先由研究者审阅真实记录及认知兜底，再做非脚本体验和速度标准确认，满足门禁才提供导师账号。无需再扩大功能或重构架构。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第25次交付 · 导师门禁未放行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