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第25次交付：导师测试整改及 PDF 参数冻结反馈（给 GPT）</w:t>
      </w:r>
    </w:p>
    <w:p>
      <w:r>
        <w:t>2026-10-13（UTC）。输入包括“第24次反馈_导师测试放行前整改建议”和“导师测试版实验参数冻结建议.pdf”，以及用户确认的评分/观点必答边界。仓库交付编号第25次，历史成果保留。</w:t>
      </w:r>
    </w:p>
    <w:p>
      <w:r>
        <w:t>结果：本轮不再停留于评估，已落实导师配置、评分卡、评分范围、轮次守卫、固定人物/场景/结束、输入处理、超时恢复与完整导出。最终冻结代码真实认知20轮、情感14轮均到终态；但存在校验重试/兜底，人工语义审核和非脚本体验尚未完成，导师暂未放行。</w:t>
      </w:r>
    </w:p>
    <w:p>
      <w:pPr>
        <w:pStyle w:val="Heading2"/>
      </w:pPr>
      <w:r>
        <w:t>1. 必须修改项、文件和验证结果</w:t>
      </w:r>
    </w:p>
    <w:tbl>
      <w:tblPr>
        <w:tblStyle w:val="TableGrid"/>
        <w:tblW w:type="auto" w:w="0"/>
        <w:tblLook w:firstColumn="1" w:firstRow="1" w:lastColumn="0" w:lastRow="0" w:noHBand="0" w:noVBand="1" w:val="04A0"/>
      </w:tblPr>
      <w:tblGrid>
        <w:gridCol w:w="2880"/>
        <w:gridCol w:w="2880"/>
        <w:gridCol w:w="2880"/>
      </w:tblGrid>
      <w:tr>
        <w:tc>
          <w:tcPr>
            <w:tcW w:type="dxa" w:w="2880"/>
          </w:tcPr>
          <w:p>
            <w:r>
              <w:t>项目</w:t>
            </w:r>
          </w:p>
        </w:tc>
        <w:tc>
          <w:tcPr>
            <w:tcW w:type="dxa" w:w="2880"/>
          </w:tcPr>
          <w:p>
            <w:r>
              <w:t>实际修改文件</w:t>
            </w:r>
          </w:p>
        </w:tc>
        <w:tc>
          <w:tcPr>
            <w:tcW w:type="dxa" w:w="2880"/>
          </w:tcPr>
          <w:p>
            <w:r>
              <w:t>行为验收成果</w:t>
            </w:r>
          </w:p>
        </w:tc>
      </w:tr>
      <w:tr>
        <w:tc>
          <w:tcPr>
            <w:tcW w:type="dxa" w:w="2880"/>
          </w:tcPr>
          <w:p>
            <w:r>
              <w:t>参数冻结</w:t>
            </w:r>
          </w:p>
        </w:tc>
        <w:tc>
          <w:tcPr>
            <w:tcW w:type="dxa" w:w="2880"/>
          </w:tcPr>
          <w:p>
            <w:r>
              <w:t>research/mentor-test-v1.json、research-profile.ts、experiment-service.ts、experiment-repository.ts</w:t>
            </w:r>
          </w:p>
        </w:tc>
        <w:tc>
          <w:tcPr>
            <w:tcW w:type="dxa" w:w="2880"/>
          </w:tcPr>
          <w:p>
            <w:r>
              <w:t>新模板显式选择mentor-test-v1，完整配置入库并随分配绑定；已发布不可改；旧分配保留；拒绝覆盖冻结政策</w:t>
            </w:r>
          </w:p>
        </w:tc>
      </w:tr>
      <w:tr>
        <w:tc>
          <w:tcPr>
            <w:tcW w:type="dxa" w:w="2880"/>
          </w:tcPr>
          <w:p>
            <w:r>
              <w:t>两次统一评分卡</w:t>
            </w:r>
          </w:p>
        </w:tc>
        <w:tc>
          <w:tcPr>
            <w:tcW w:type="dxa" w:w="2880"/>
          </w:tcPr>
          <w:p>
            <w:r>
              <w:t>RatingCard.tsx、Participant.tsx、contracts/index.ts、participant-service.ts</w:t>
            </w:r>
          </w:p>
        </w:tc>
        <w:tc>
          <w:tcPr>
            <w:tcW w:type="dxa" w:w="2880"/>
          </w:tcPr>
          <w:p>
            <w:r>
              <w:t>0–100整数，步长1；固定提示、仅两端锚点；同一确认观点；小数/越界/缺失拒绝，不代填评分</w:t>
            </w:r>
          </w:p>
        </w:tc>
      </w:tr>
      <w:tr>
        <w:tc>
          <w:tcPr>
            <w:tcW w:type="dxa" w:w="2880"/>
          </w:tcPr>
          <w:p>
            <w:r>
              <w:t>最少/最多轮次与兜底</w:t>
            </w:r>
          </w:p>
        </w:tc>
        <w:tc>
          <w:tcPr>
            <w:tcW w:type="dxa" w:w="2880"/>
          </w:tcPr>
          <w:p>
            <w:r>
              <w:t>research-profile.ts、participant-service.ts、conversation-service.ts、conversation-repository.ts</w:t>
            </w:r>
          </w:p>
        </w:tc>
        <w:tc>
          <w:tcPr>
            <w:tcW w:type="dxa" w:w="2880"/>
          </w:tcPr>
          <w:p>
            <w:r>
              <w:t>未达有效轮次不能提交；达到上限停止开放聊天；非必答阶段按已批准规则后端推进；评分/观点确认不自动补造</w:t>
            </w:r>
          </w:p>
        </w:tc>
      </w:tr>
      <w:tr>
        <w:tc>
          <w:tcPr>
            <w:tcW w:type="dxa" w:w="2880"/>
          </w:tcPr>
          <w:p>
            <w:r>
              <w:t>固定情感材料</w:t>
            </w:r>
          </w:p>
        </w:tc>
        <w:tc>
          <w:tcPr>
            <w:tcW w:type="dxa" w:w="2880"/>
          </w:tcPr>
          <w:p>
            <w:r>
              <w:t>research/mentor-test-v1.json、research-profile.ts、conversation-service.ts、research-variables.ts</w:t>
            </w:r>
          </w:p>
        </w:tc>
        <w:tc>
          <w:tcPr>
            <w:tcW w:type="dxa" w:w="2880"/>
          </w:tcPr>
          <w:p>
            <w:r>
              <w:t>Marcus/李阳与固定身份、四场景顺序、转折/桥接/告别；首场景回复前缀经校验；结束后禁止新任务</w:t>
            </w:r>
          </w:p>
        </w:tc>
      </w:tr>
      <w:tr>
        <w:tc>
          <w:tcPr>
            <w:tcW w:type="dxa" w:w="2880"/>
          </w:tcPr>
          <w:p>
            <w:r>
              <w:t>流程询问/误输入</w:t>
            </w:r>
          </w:p>
        </w:tc>
        <w:tc>
          <w:tcPr>
            <w:tcW w:type="dxa" w:w="2880"/>
          </w:tcPr>
          <w:p>
            <w:r>
              <w:t>research-profile.ts、conversation-service.ts、participant-service.ts</w:t>
            </w:r>
          </w:p>
        </w:tc>
        <w:tc>
          <w:tcPr>
            <w:tcW w:type="dxa" w:w="2880"/>
          </w:tcPr>
          <w:p>
            <w:r>
              <w:t>已识别询问不计为故事有效互动；显式表单也拒绝将已识别询问当作剧情；未建立完整语义分类模型</w:t>
            </w:r>
          </w:p>
        </w:tc>
      </w:tr>
      <w:tr>
        <w:tc>
          <w:tcPr>
            <w:tcW w:type="dxa" w:w="2880"/>
          </w:tcPr>
          <w:p>
            <w:r>
              <w:t>超时及中断恢复</w:t>
            </w:r>
          </w:p>
        </w:tc>
        <w:tc>
          <w:tcPr>
            <w:tcW w:type="dxa" w:w="2880"/>
          </w:tcPr>
          <w:p>
            <w:r>
              <w:t>api.ts、Participant.tsx、client-deadline.test.ts、browser.spec.ts</w:t>
            </w:r>
          </w:p>
        </w:tc>
        <w:tc>
          <w:tcPr>
            <w:tcW w:type="dxa" w:w="2880"/>
          </w:tcPr>
          <w:p>
            <w:r>
              <w:t>请求/响应体截止、取消、总轮询截止；超时刷新结果；同ID重放不重复保存/推进</w:t>
            </w:r>
          </w:p>
        </w:tc>
      </w:tr>
      <w:tr>
        <w:tc>
          <w:tcPr>
            <w:tcW w:type="dxa" w:w="2880"/>
          </w:tcPr>
          <w:p>
            <w:r>
              <w:t>完整实验记录导出</w:t>
            </w:r>
          </w:p>
        </w:tc>
        <w:tc>
          <w:tcPr>
            <w:tcW w:type="dxa" w:w="2880"/>
          </w:tcPr>
          <w:p>
            <w:r>
              <w:t>conversation-repository.ts、admin-service.ts、Admin.tsx、business-acceptance.ts</w:t>
            </w:r>
          </w:p>
        </w:tc>
        <w:tc>
          <w:tcPr>
            <w:tcW w:type="dxa" w:w="2880"/>
          </w:tcPr>
          <w:p>
            <w:r>
              <w:t>同一只读快照全记录及record_counts；1010条消息逐条匹配源库，跨Study隔离、鉴权和下载通过</w:t>
            </w:r>
          </w:p>
        </w:tc>
      </w:tr>
      <w:tr>
        <w:tc>
          <w:tcPr>
            <w:tcW w:type="dxa" w:w="2880"/>
          </w:tcPr>
          <w:p>
            <w:r>
              <w:t>真实配置链路与失败留档</w:t>
            </w:r>
          </w:p>
        </w:tc>
        <w:tc>
          <w:tcPr>
            <w:tcW w:type="dxa" w:w="2880"/>
          </w:tcPr>
          <w:p>
            <w:r>
              <w:t>mentor-profile-e2e.ts、business.test.ts、browser.spec.ts</w:t>
            </w:r>
          </w:p>
        </w:tc>
        <w:tc>
          <w:tcPr>
            <w:tcW w:type="dxa" w:w="2880"/>
          </w:tcPr>
          <w:p>
            <w:r>
              <w:t>冻结代码下真实两路径完成；请求重放无额外模型调用；脚本现在保留失败路径数据；旧失败记录不隐藏</w:t>
            </w:r>
          </w:p>
        </w:tc>
      </w:tr>
    </w:tbl>
    <w:p>
      <w:r>
        <w:t>完整路径、理由和证据见 逐项验收报告（twenty-fifth-round-delivery-report.md）。未改experiment-core、AI Orchestrator、基础Prompt装配器、Validator、Model Adapter、数据库迁移或依赖；新增语言政策由业务配置装配到当前阶段，不把完整流程写入Prompt。</w:t>
      </w:r>
    </w:p>
    <w:p>
      <w:pPr>
        <w:pStyle w:val="Heading2"/>
      </w:pPr>
      <w:r>
        <w:t>2. PDF 参数落实</w:t>
      </w:r>
    </w:p>
    <w:p>
      <w:r>
        <w:t>研究配置为 mentor-test-v1.json（../research/mentor-test-v1.json）。PDF 单独反馈见 参数冻结与落实报告（mentor-parameters-freeze-feedback.md）。评分0/100锚点及固定提示按原文保存，两个评分节点用同一组件；中间没有文字标签。行动意愿对象明确为美国黑人刻板印象相关内容。</w:t>
      </w:r>
    </w:p>
    <w:p>
      <w:r>
        <w:t>认知State 1映射到原有获取/确认两节点，共享2–5有效轮次；四重构均2–3轮，评分均1–3轮，行动意愿2–4轮。情感人物阶段采用2轮，故事中段按合计11–14有效轮次控制，保留原5个内部节点承载4个场景；为后续场景留容量，禁止模型跳节点。</w:t>
      </w:r>
    </w:p>
    <w:p>
      <w:r>
        <w:t>PDF“预计20–25轮左右”是预估，不等于硬约束；认知表规定的有效轮次总下限14、上限27，本轮真实验收用20轮。未自行添加新的20–25总轮次强制规则。误输入、已识别流程询问、失败和同ID重放不作为有效轮次；规则式意图识别不是对所有中文含义的保证。</w:t>
      </w:r>
    </w:p>
    <w:p>
      <w:r>
        <w:t>已按用户回复落实：评分和观点确认保持明确提交；其他阶段连续两次无信息时，可中性总结并记录backend/missing_data后顺序推进。不会制造一个评分或确认观点。该异常分支是有缺失数据的协议兜底，不是完成了一次正常干预。</w:t>
      </w:r>
    </w:p>
    <w:p>
      <w:pPr>
        <w:pStyle w:val="Heading2"/>
      </w:pPr>
      <w:r>
        <w:t>3. 最终真实链路验收</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本轮最终冻结代码结果</w:t>
            </w:r>
          </w:p>
        </w:tc>
      </w:tr>
      <w:tr>
        <w:tc>
          <w:tcPr>
            <w:tcW w:type="dxa" w:w="4320"/>
          </w:tcPr>
          <w:p>
            <w:r>
              <w:t>受测代码</w:t>
            </w:r>
          </w:p>
        </w:tc>
        <w:tc>
          <w:tcPr>
            <w:tcW w:type="dxa" w:w="4320"/>
          </w:tcPr>
          <w:p>
            <w:r>
              <w:t>5b7a21655074975b2b4705d9ccf4c9df86d94c59；模型日志均记录这一SHA</w:t>
            </w:r>
          </w:p>
        </w:tc>
      </w:tr>
      <w:tr>
        <w:tc>
          <w:tcPr>
            <w:tcW w:type="dxa" w:w="4320"/>
          </w:tcPr>
          <w:p>
            <w:r>
              <w:t>模型</w:t>
            </w:r>
          </w:p>
        </w:tc>
        <w:tc>
          <w:tcPr>
            <w:tcW w:type="dxa" w:w="4320"/>
          </w:tcPr>
          <w:p>
            <w:r>
              <w:t>请求deepseek-flash，37次响应均返回deepseek-flash，HTTP全部200；未比较或更换供应商</w:t>
            </w:r>
          </w:p>
        </w:tc>
      </w:tr>
      <w:tr>
        <w:tc>
          <w:tcPr>
            <w:tcW w:type="dxa" w:w="4320"/>
          </w:tcPr>
          <w:p>
            <w:r>
              <w:t>请求耗时</w:t>
            </w:r>
          </w:p>
        </w:tc>
        <w:tc>
          <w:tcPr>
            <w:tcW w:type="dxa" w:w="4320"/>
          </w:tcPr>
          <w:p>
            <w:r>
              <w:t>中位4636.70ms，P95 5193.83ms，最大5231.06ms；从请求开始到读完响应体，不是首token时间</w:t>
            </w:r>
          </w:p>
        </w:tc>
      </w:tr>
      <w:tr>
        <w:tc>
          <w:tcPr>
            <w:tcW w:type="dxa" w:w="4320"/>
          </w:tcPr>
          <w:p>
            <w:r>
              <w:t>认知</w:t>
            </w:r>
          </w:p>
        </w:tc>
        <w:tc>
          <w:tcPr>
            <w:tcW w:type="dxa" w:w="4320"/>
          </w:tcPr>
          <w:p>
            <w:r>
              <w:t>20轮，40消息，10个合法迁移事件，终态COMPLETED；7次重试、4次兜底</w:t>
            </w:r>
          </w:p>
        </w:tc>
      </w:tr>
      <w:tr>
        <w:tc>
          <w:tcPr>
            <w:tcW w:type="dxa" w:w="4320"/>
          </w:tcPr>
          <w:p>
            <w:r>
              <w:t>情感</w:t>
            </w:r>
          </w:p>
        </w:tc>
        <w:tc>
          <w:tcPr>
            <w:tcW w:type="dxa" w:w="4320"/>
          </w:tcPr>
          <w:p>
            <w:r>
              <w:t>14轮（人物2+故事11+收尾1），28消息，8个合法迁移事件，终态COMPLETED；重试0、兜底0</w:t>
            </w:r>
          </w:p>
        </w:tc>
      </w:tr>
      <w:tr>
        <w:tc>
          <w:tcPr>
            <w:tcW w:type="dxa" w:w="4320"/>
          </w:tcPr>
          <w:p>
            <w:r>
              <w:t>重放/状态/数据</w:t>
            </w:r>
          </w:p>
        </w:tc>
        <w:tc>
          <w:tcPr>
            <w:tcW w:type="dxa" w:w="4320"/>
          </w:tcPr>
          <w:p>
            <w:r>
              <w:t>所有消息重放响应相同且不增加模型调用；观测非法迁移0；完整导出和数据库质量均通过</w:t>
            </w:r>
          </w:p>
        </w:tc>
      </w:tr>
      <w:tr>
        <w:tc>
          <w:tcPr>
            <w:tcW w:type="dxa" w:w="4320"/>
          </w:tcPr>
          <w:p>
            <w:r>
              <w:t>人工评分</w:t>
            </w:r>
          </w:p>
        </w:tc>
        <w:tc>
          <w:tcPr>
            <w:tcW w:type="dxa" w:w="4320"/>
          </w:tcPr>
          <w:p>
            <w:r>
              <w:t>未执行，值为空；实际对话和逐轮来源已留档，供研究者审核</w:t>
            </w:r>
          </w:p>
        </w:tc>
      </w:tr>
    </w:tbl>
    <w:p>
      <w:r>
        <w:t>认知拦截原因包括BELIEF_ANCHOR_MISSING与EMPTY_REPLY。核心未因这些问题跳状态；语言效果仍需审核，不能称“语言无异常”。本轮全部真实调用共90次，含早期完成29次、中间受阻24次、最终完成37次。保留中间GENERATION_NOT_READY报告；旧脚本未留下失败路径快照，不能据此断言唯一根因。</w:t>
      </w:r>
    </w:p>
    <w:p>
      <w:r>
        <w:t>已修复一个确定的兜底容量不足问题：三轮重构原先只有两候选，现在用同阶段不同内容的候选，并验证连续无效生成也能得到三个不同回复。没有关闭重复/观点校验；后续失败现场也会留档。</w:t>
      </w:r>
    </w:p>
    <w:p>
      <w:pPr>
        <w:pStyle w:val="Heading2"/>
      </w:pPr>
      <w:r>
        <w:t>4. 导师放行判断</w:t>
      </w:r>
    </w:p>
    <w:p>
      <w:r>
        <w:t>工程门禁：参数绑定、评分、轮次、终态、恢复、状态跟踪、完整导出和受测版本链路已有行为证据。448项Vitest、18项Playwright最终通过，仅作支撑，不取代实验门禁。</w:t>
      </w:r>
    </w:p>
    <w:p>
      <w:r>
        <w:t>尚未满足：研究者对实际回复的人工语言/语义审核、非脚本体验测试，以及持续运行的速度标准与采样确认。真实链路输入为合成中文口语测试，不是研究者或导师亲自自由输入。有限模式的意图识别及固定角色在生成语言中的遵守程度需要压力审核。</w:t>
      </w:r>
    </w:p>
    <w:p>
      <w:r>
        <w:t>因此mentor_test_ready=false、pilot_ready=false、formal_ready=false；未邀请导师、未发放可用导师账号、未部署正式实验、未收集真实参与者。代码可作为导师测试候选版本提交审核。</w:t>
      </w:r>
    </w:p>
    <w:p>
      <w:pPr>
        <w:pStyle w:val="Heading2"/>
      </w:pPr>
      <w:r>
        <w:t>5. 下一轮应做什么</w:t>
      </w:r>
    </w:p>
    <w:p>
      <w:r>
        <w:t>请GPT和研究者先审阅实际20/14轮记录，重点看认知4次兜底是否仍完成当前重构任务、固定人物/场景是否遵守、重复询问与结尾是否自然，再进行非脚本体验。可使用 人工审核清单（mentor-human-review-checklist.md）。审核通过并冻结部署配置后，再提供导师账号；暂缓美化、流式、扩展语料库、模型比较或大架构调整。</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Agent Research Platform · 第25次交付 · 导师门禁未放行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