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第44次反馈：Render 环境核验与数据库保全</w:t>
      </w:r>
    </w:p>
    <w:p>
      <w:pPr>
        <w:jc w:val="center"/>
      </w:pPr>
      <w:r>
        <w:rPr>
          <w:i/>
          <w:color w:val="646464"/>
          <w:sz w:val="18"/>
        </w:rPr>
        <w:t>依据研究者于 2026-10-21 提供的 Render 设置截图</w:t>
      </w:r>
    </w:p>
    <w:p>
      <w:pPr>
        <w:pStyle w:val="Heading1"/>
      </w:pPr>
      <w:r>
        <w:t>本轮目标</w:t>
      </w:r>
    </w:p>
    <w:p>
      <w:r>
        <w:t>依据研究者于2026-10-21新提供的Render Web Service Settings、Build、Deploy、Environment截图，更新第43次反馈。保留第43次及之前的历史证据，不覆盖旧报告。本轮只读核验；暂不部署；不修改配置、不升级、不清库、不重置账号、不触发迁移。</w:t>
      </w:r>
    </w:p>
    <w:p>
      <w:pPr>
        <w:pStyle w:val="Heading1"/>
      </w:pPr>
      <w:r>
        <w:t>1. 研究者截图已确认的事实</w:t>
      </w:r>
    </w:p>
    <w:p>
      <w:pPr>
        <w:pStyle w:val="Heading2"/>
      </w:pPr>
      <w:r>
        <w:t>1.1 Web Service 概况</w:t>
      </w:r>
    </w:p>
    <w:p>
      <w:pPr>
        <w:pStyle w:val="ListBullet"/>
      </w:pPr>
      <w:r>
        <w:t>服务名：ai-agent-research-staging；Render方案：Free。</w:t>
      </w:r>
    </w:p>
    <w:p>
      <w:pPr>
        <w:pStyle w:val="ListBullet"/>
      </w:pPr>
      <w:r>
        <w:t>当前页面Live提交短哈希：ea9867d。</w:t>
      </w:r>
    </w:p>
    <w:p>
      <w:pPr>
        <w:pStyle w:val="ListBullet"/>
      </w:pPr>
      <w:r>
        <w:t>GitHub仓库：qianmengyan008-sys / AI-Agent-Research-Platform；分支：work。</w:t>
      </w:r>
    </w:p>
    <w:p>
      <w:pPr>
        <w:pStyle w:val="ListBullet"/>
      </w:pPr>
      <w:r>
        <w:t>服务地址：https://ai-agent-research-staging.onrender.com/</w:t>
      </w:r>
    </w:p>
    <w:p>
      <w:pPr>
        <w:pStyle w:val="ListBullet"/>
      </w:pPr>
      <w:r>
        <w:t>区域：Singapore (Southeast Asia)；运行方式：Docker。</w:t>
      </w:r>
    </w:p>
    <w:p>
      <w:pPr>
        <w:pStyle w:val="ListBullet"/>
      </w:pPr>
      <w:r>
        <w:t>Dockerfile Path：./Dockerfile；Docker Build Context Directory：.（仓库根目录）。</w:t>
      </w:r>
    </w:p>
    <w:p>
      <w:pPr>
        <w:pStyle w:val="ListBullet"/>
      </w:pPr>
      <w:r>
        <w:t>Auto-Deploy：Off；Health Check Path：/api/ready；Render Subdomain：Enabled。</w:t>
      </w:r>
    </w:p>
    <w:p>
      <w:pPr>
        <w:pStyle w:val="Heading2"/>
      </w:pPr>
      <w:r>
        <w:t>1.2 环境变量</w:t>
      </w:r>
    </w:p>
    <w:p>
      <w:r>
        <w:t>截图明确显示以下键存在，值全部隐藏：</w:t>
      </w:r>
    </w:p>
    <w:p>
      <w:pPr>
        <w:pStyle w:val="ListBullet"/>
      </w:pPr>
      <w:r>
        <w:t>ADMIN_ACCESS_TOKEN</w:t>
      </w:r>
    </w:p>
    <w:p>
      <w:pPr>
        <w:pStyle w:val="ListBullet"/>
      </w:pPr>
      <w:r>
        <w:t>ADMIN_DEVELOPMENT_MODE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DB_POOL_SIZE</w:t>
      </w:r>
    </w:p>
    <w:p>
      <w:pPr>
        <w:pStyle w:val="ListBullet"/>
      </w:pPr>
      <w:r>
        <w:t>DEEPSEEK_API_KEY</w:t>
      </w:r>
    </w:p>
    <w:p>
      <w:pPr>
        <w:pStyle w:val="ListBullet"/>
      </w:pPr>
      <w:r>
        <w:t>DEEPSEEK_MODEL_NAME</w:t>
      </w:r>
    </w:p>
    <w:p>
      <w:pPr>
        <w:pStyle w:val="ListBullet"/>
      </w:pPr>
      <w:r>
        <w:t>GPT_API_BASE_URL</w:t>
      </w:r>
    </w:p>
    <w:p>
      <w:pPr>
        <w:pStyle w:val="ListBullet"/>
      </w:pPr>
      <w:r>
        <w:t>GPT_API_KEY</w:t>
      </w:r>
    </w:p>
    <w:p>
      <w:pPr>
        <w:pStyle w:val="ListBullet"/>
      </w:pPr>
      <w:r>
        <w:t>GPT_MODEL_NAME（截图下缘可见其区域，完整列表需研究者在Render页面内确认）</w:t>
      </w:r>
    </w:p>
    <w:p>
      <w:r>
        <w:t>可以确认DATABASE_URL环境变量存在，但无法从截图确认它实际指向哪一个数据库。不得要求研究者发送、复制或截图暴露完整连接串、API Key、管理员Token、Deploy Hook或其他Secret。不得将环境变量导出文件提交GitHub或放入反馈包。</w:t>
      </w:r>
    </w:p>
    <w:p>
      <w:pPr>
        <w:pStyle w:val="Heading2"/>
      </w:pPr>
      <w:r>
        <w:t>1.3 数据库状态（来自第43次数据库截图）</w:t>
      </w:r>
    </w:p>
    <w:p>
      <w:pPr>
        <w:pStyle w:val="ListBullet"/>
      </w:pPr>
      <w:r>
        <w:t>数据库服务：ai-agent-research-staging-db；方案Free；状态Available。</w:t>
      </w:r>
    </w:p>
    <w:p>
      <w:pPr>
        <w:pStyle w:val="ListBullet"/>
      </w:pPr>
      <w:r>
        <w:t>PostgreSQL版本18；区域Singapore (Southeast Asia)；存储使用量约6.89% / 1 GB。</w:t>
      </w:r>
    </w:p>
    <w:p>
      <w:pPr>
        <w:pStyle w:val="ListBullet"/>
      </w:pPr>
      <w:r>
        <w:t>Render页面提示数据库将于2026-11-19到期；除非升级到付费计算方案，否则数据库将被删除。</w:t>
      </w:r>
    </w:p>
    <w:p>
      <w:pPr>
        <w:pStyle w:val="ListBullet"/>
      </w:pPr>
      <w:r>
        <w:t>截图显示数据库名ai_agent_research，用户名research_admin。</w:t>
      </w:r>
    </w:p>
    <w:p>
      <w:pPr>
        <w:pStyle w:val="ListBullet"/>
      </w:pPr>
      <w:r>
        <w:t>数据库页面提示外部流量受到PostgreSQL入站规则限制。</w:t>
      </w:r>
    </w:p>
    <w:p>
      <w:pPr>
        <w:pStyle w:val="ListBullet"/>
      </w:pPr>
      <w:r>
        <w:t>以上信息不能证明Web Service的DATABASE_URL实际指向该数据库，也不能证明已经存在可恢复备份。</w:t>
      </w:r>
    </w:p>
    <w:p>
      <w:pPr>
        <w:pStyle w:val="Heading2"/>
      </w:pPr>
      <w:r>
        <w:t>1.4 部署证据</w:t>
      </w:r>
    </w:p>
    <w:p>
      <w:pPr>
        <w:pStyle w:val="ListBullet"/>
      </w:pPr>
      <w:r>
        <w:t>Render Deploys页面显示当前Live提交ea9867d，最近部署标题包含feedback 35与round38。</w:t>
      </w:r>
    </w:p>
    <w:p>
      <w:pPr>
        <w:pStyle w:val="ListBullet"/>
      </w:pPr>
      <w:r>
        <w:t>状态：Deploy succeeded | Live；触发方式：Dashboard手动部署。</w:t>
      </w:r>
    </w:p>
    <w:p>
      <w:pPr>
        <w:pStyle w:val="ListBullet"/>
      </w:pPr>
      <w:r>
        <w:t>前一条部署提交：ff87369。</w:t>
      </w:r>
    </w:p>
    <w:p>
      <w:pPr>
        <w:pStyle w:val="ListBullet"/>
      </w:pPr>
      <w:r>
        <w:t>部署标题只能作为线索，不能替代Git提交内容核验；不得据此直接声称第41次或后续交付已经上线。</w:t>
      </w:r>
    </w:p>
    <w:p>
      <w:pPr>
        <w:pStyle w:val="Heading1"/>
      </w:pPr>
      <w:r>
        <w:t>2. Codex 必须完成的仓库只读核验</w:t>
      </w:r>
    </w:p>
    <w:p>
      <w:pPr>
        <w:pStyle w:val="ListNumber"/>
      </w:pPr>
      <w:r>
        <w:t>读取当前仓库状态、work分支HEAD、ea9867d与ff87369的提交信息及变更文件。</w:t>
      </w:r>
    </w:p>
    <w:p>
      <w:pPr>
        <w:pStyle w:val="ListNumber"/>
      </w:pPr>
      <w:r>
        <w:t>核对第41次、第43次及当前交付对应的提交、文件和报告；说明ea9867d是否包含预期修改。</w:t>
      </w:r>
    </w:p>
    <w:p>
      <w:pPr>
        <w:pStyle w:val="ListNumber"/>
      </w:pPr>
      <w:r>
        <w:t>明确Render Live commit与当前仓库HEAD是否一致；若不一致，列出准确差异。</w:t>
      </w:r>
    </w:p>
    <w:p>
      <w:pPr>
        <w:pStyle w:val="ListNumber"/>
      </w:pPr>
      <w:r>
        <w:t>阅读render.yaml、Dockerfile、数据库连接初始化代码、迁移流程和健康检查实现，说明应用从哪个环境变量读取数据库连接，以及/api/ready检查什么。</w:t>
      </w:r>
    </w:p>
    <w:p>
      <w:pPr>
        <w:pStyle w:val="ListNumber"/>
      </w:pPr>
      <w:r>
        <w:t>不打印Secret，不读取或输出真实密钥值；不更改任何文件或配置。</w:t>
      </w:r>
    </w:p>
    <w:p>
      <w:pPr>
        <w:pStyle w:val="ListNumber"/>
      </w:pPr>
      <w:r>
        <w:t>对没有证据支持的结论统一标记NOT VERIFIED。</w:t>
      </w:r>
    </w:p>
    <w:p>
      <w:pPr>
        <w:pStyle w:val="Heading1"/>
      </w:pPr>
      <w:r>
        <w:t>3. 研究者已完成的手动核验</w:t>
      </w:r>
    </w:p>
    <w:p>
      <w:r>
        <w:t>研究者已经进入Render Dashboard → ai-agent-research-staging → Settings，并提供General、Build、Deploy、Environment截图。已确认DATABASE_URL键存在但值未暴露；分支为work；Auto-Deploy为Off；Health Check Path为/api/ready；当前Live commit显示为ea9867d。研究者不需要再次进入Web Service Settings重复检查这些项目。</w:t>
      </w:r>
    </w:p>
    <w:p>
      <w:pPr>
        <w:pStyle w:val="Heading1"/>
      </w:pPr>
      <w:r>
        <w:t>4. 研究者下一步唯一必要的手动检查：数据库备份/恢复入口</w:t>
      </w:r>
    </w:p>
    <w:p>
      <w:pPr>
        <w:pStyle w:val="ListNumber"/>
      </w:pPr>
      <w:r>
        <w:t>打开Render Dashboard中的ai-agent-research-staging-db数据库详情页，查找Backups、Recovery、备份下载或类似选项。</w:t>
      </w:r>
    </w:p>
    <w:p>
      <w:pPr>
        <w:pStyle w:val="ListNumber"/>
      </w:pPr>
      <w:r>
        <w:t>反馈是否找到备份/恢复入口，以及页面显示的保留期限、恢复范围、备份时间（如果有）。</w:t>
      </w:r>
    </w:p>
    <w:p>
      <w:pPr>
        <w:pStyle w:val="ListNumber"/>
      </w:pPr>
      <w:r>
        <w:t>记录是否显示升级、到期或付费提示。</w:t>
      </w:r>
    </w:p>
    <w:p>
      <w:r>
        <w:t>安全要求：只浏览页面，不点击Restore、Delete、Upgrade、Suspend、Restart或任何会改变资源状态的按钮。不公开数据库密码、完整连接串、Token或API Key。若未找到入口，只报告“数据库详情页未找到备份/恢复入口”，不要据此断言平台完全不支持备份。必要时提供裁剪后的截图，避免包含任何Secret。</w:t>
      </w:r>
    </w:p>
    <w:p>
      <w:pPr>
        <w:pStyle w:val="Heading1"/>
      </w:pPr>
      <w:r>
        <w:t>5. 官方文档核实与备份方案（由 Codex 负责）</w:t>
      </w:r>
    </w:p>
    <w:p>
      <w:pPr>
        <w:pStyle w:val="ListNumber"/>
      </w:pPr>
      <w:r>
        <w:t>通过当前Render官方文档核实Free PostgreSQL的到期和删除规则、当前套餐可用的备份/导出/恢复方式、保留期限和限制，并附来源链接及查询日期。</w:t>
      </w:r>
    </w:p>
    <w:p>
      <w:pPr>
        <w:pStyle w:val="ListNumber"/>
      </w:pPr>
      <w:r>
        <w:t>基于实际可用权限，设计数据库备份与隔离恢复验证流程。</w:t>
      </w:r>
    </w:p>
    <w:p>
      <w:pPr>
        <w:pStyle w:val="ListNumber"/>
      </w:pPr>
      <w:r>
        <w:t>备份范围至少考虑参与者/登录账号及密码哈希、实验条件分配、对话会话与消息、状态机状态与事件、评分、变量与研究配置、审计记录和迁移账本（以实际schema为准）。</w:t>
      </w:r>
    </w:p>
    <w:p>
      <w:pPr>
        <w:pStyle w:val="ListNumber"/>
      </w:pPr>
      <w:r>
        <w:t>不将真实研究数据、备份、密码或Secret提交GitHub；备份加密，密钥与备份文件分开保管。</w:t>
      </w:r>
    </w:p>
    <w:p>
      <w:pPr>
        <w:pStyle w:val="ListNumber"/>
      </w:pPr>
      <w:r>
        <w:t>记录备份时间、来源数据库标识、文件SHA-256、恢复目标、恢复后表计数和约束验证结果。</w:t>
      </w:r>
    </w:p>
    <w:p>
      <w:pPr>
        <w:pStyle w:val="ListNumber"/>
      </w:pPr>
      <w:r>
        <w:t>优先在独立隔离的测试数据库验证恢复，不要覆盖现有staging数据库。</w:t>
      </w:r>
    </w:p>
    <w:p>
      <w:pPr>
        <w:pStyle w:val="ListNumber"/>
      </w:pPr>
      <w:r>
        <w:t>在实际完成并验证恢复前，不得宣称备份可靠。</w:t>
      </w:r>
    </w:p>
    <w:p>
      <w:pPr>
        <w:pStyle w:val="ListNumber"/>
      </w:pPr>
      <w:r>
        <w:t>若必须付费、开放外部连接或创建资源，先说明理由、费用、风险和替代方案，等待研究者明确批准；不得自行购买或升级。</w:t>
      </w:r>
    </w:p>
    <w:p>
      <w:pPr>
        <w:pStyle w:val="Heading1"/>
      </w:pPr>
      <w:r>
        <w:t>6. 部署与数据安全停止条件</w:t>
      </w:r>
    </w:p>
    <w:p>
      <w:pPr>
        <w:pStyle w:val="ListBullet"/>
      </w:pPr>
      <w:r>
        <w:t>本轮禁止点击Manual Deploy、Rollback或更改部署分支。</w:t>
      </w:r>
    </w:p>
    <w:p>
      <w:pPr>
        <w:pStyle w:val="ListBullet"/>
      </w:pPr>
      <w:r>
        <w:t>不得修改DATABASE_URL、API Key、管理员Token、Deploy Hook或其他Secret。</w:t>
      </w:r>
    </w:p>
    <w:p>
      <w:pPr>
        <w:pStyle w:val="ListBullet"/>
      </w:pPr>
      <w:r>
        <w:t>不得修改Auto-Deploy设置。</w:t>
      </w:r>
    </w:p>
    <w:p>
      <w:pPr>
        <w:pStyle w:val="ListBullet"/>
      </w:pPr>
      <w:r>
        <w:t>不得清空或重置数据库、删除账号或历史会话。</w:t>
      </w:r>
    </w:p>
    <w:p>
      <w:pPr>
        <w:pStyle w:val="ListBullet"/>
      </w:pPr>
      <w:r>
        <w:t>不得运行破坏性迁移。</w:t>
      </w:r>
    </w:p>
    <w:p>
      <w:pPr>
        <w:pStyle w:val="ListBullet"/>
      </w:pPr>
      <w:r>
        <w:t>不得升级套餐、购买服务或新建收费资源。</w:t>
      </w:r>
    </w:p>
    <w:p>
      <w:pPr>
        <w:pStyle w:val="ListBullet"/>
      </w:pPr>
      <w:r>
        <w:t>在没有备份与恢复计划的情况下，不执行会影响数据库的操作。</w:t>
      </w:r>
    </w:p>
    <w:p>
      <w:pPr>
        <w:pStyle w:val="ListBullet"/>
      </w:pPr>
      <w:r>
        <w:t>如果仓库提交、Render Live commit、服务名、数据库目标或迁移状态对不上，停止并先报告差异。</w:t>
      </w:r>
    </w:p>
    <w:p>
      <w:pPr>
        <w:pStyle w:val="Heading1"/>
      </w:pPr>
      <w:r>
        <w:t>7. 报告产出</w:t>
      </w:r>
    </w:p>
    <w:p>
      <w:r>
        <w:t>新增目录docs/acceptance/step6-round44/，至少生成report.md、delivery-status.json、manual-checklist.md。不要覆盖历史轮次报告。</w:t>
      </w:r>
    </w:p>
    <w:p>
      <w:pPr>
        <w:pStyle w:val="ListBullet"/>
      </w:pPr>
      <w:r>
        <w:t>CONFIRMED FROM USER SCREENSHOTS</w:t>
      </w:r>
    </w:p>
    <w:p>
      <w:pPr>
        <w:pStyle w:val="ListBullet"/>
      </w:pPr>
      <w:r>
        <w:t>VERIFIED IN REPOSITORY</w:t>
      </w:r>
    </w:p>
    <w:p>
      <w:pPr>
        <w:pStyle w:val="ListBullet"/>
      </w:pPr>
      <w:r>
        <w:t>RESEARCHER VERIFIED IN RENDER</w:t>
      </w:r>
    </w:p>
    <w:p>
      <w:pPr>
        <w:pStyle w:val="ListBullet"/>
      </w:pPr>
      <w:r>
        <w:t>VERIFIED FROM OFFICIAL RENDER DOCS</w:t>
      </w:r>
    </w:p>
    <w:p>
      <w:pPr>
        <w:pStyle w:val="ListBullet"/>
      </w:pPr>
      <w:r>
        <w:t>NOT VERIFIED</w:t>
      </w:r>
    </w:p>
    <w:p>
      <w:pPr>
        <w:pStyle w:val="Heading1"/>
      </w:pPr>
      <w:r>
        <w:t>8. 本轮验收标准</w:t>
      </w:r>
    </w:p>
    <w:p>
      <w:pPr>
        <w:pStyle w:val="ListBullet"/>
      </w:pPr>
      <w:r>
        <w:t>已确认截图可证实的配置，不把隐藏值推断为已核实。</w:t>
      </w:r>
    </w:p>
    <w:p>
      <w:pPr>
        <w:pStyle w:val="ListBullet"/>
      </w:pPr>
      <w:r>
        <w:t>已明确当前Live commit与交付内容的关系。</w:t>
      </w:r>
    </w:p>
    <w:p>
      <w:pPr>
        <w:pStyle w:val="ListBullet"/>
      </w:pPr>
      <w:r>
        <w:t>已说明DATABASE_URL的配置读取逻辑，但不暴露其值。</w:t>
      </w:r>
    </w:p>
    <w:p>
      <w:pPr>
        <w:pStyle w:val="ListBullet"/>
      </w:pPr>
      <w:r>
        <w:t>已查阅当前官方文档并给出可执行备份/隔离恢复计划。</w:t>
      </w:r>
    </w:p>
    <w:p>
      <w:pPr>
        <w:pStyle w:val="ListBullet"/>
      </w:pPr>
      <w:r>
        <w:t>明确数据库2026-11-19到期风险。</w:t>
      </w:r>
    </w:p>
    <w:p>
      <w:pPr>
        <w:pStyle w:val="ListBullet"/>
      </w:pPr>
      <w:r>
        <w:t>未触发部署、未更改配置、未修改或删除数据。</w:t>
      </w:r>
    </w:p>
    <w:p>
      <w:pPr>
        <w:pStyle w:val="ListBullet"/>
      </w:pPr>
      <w:r>
        <w:t>未把测试或推断写成已验证的线上事实。</w:t>
      </w:r>
    </w:p>
    <w:p>
      <w:r>
        <w:rPr>
          <w:b/>
        </w:rPr>
        <w:t>预期状态：部署与备份能力仍待核验；本轮不部署。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