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第42次反馈：Render 线上只读核验与部署前准备</w:t>
      </w:r>
    </w:p>
    <w:p>
      <w:pPr>
        <w:jc w:val="center"/>
      </w:pPr>
      <w:r>
        <w:rPr>
          <w:i/>
          <w:color w:val="646464"/>
          <w:sz w:val="18"/>
        </w:rPr>
        <w:t>基于 AI-Agent-Research-Platform-round41-delivery.zip</w:t>
      </w:r>
    </w:p>
    <w:p>
      <w:pPr>
        <w:pStyle w:val="Heading1"/>
      </w:pPr>
      <w:r>
        <w:t>1. 本轮依据与当前结论</w:t>
      </w:r>
    </w:p>
    <w:p>
      <w:pPr>
        <w:pStyle w:val="ListBullet"/>
      </w:pPr>
      <w:r>
        <w:t>本地 npm run check：退出码0；505项 Vitest（33个文件）及25项 Playwright测试通过。</w:t>
      </w:r>
    </w:p>
    <w:p>
      <w:pPr>
        <w:pStyle w:val="ListBullet"/>
      </w:pPr>
      <w:r>
        <w:t>额外数据安全测试11项已包含在505项内，不得重复累计。</w:t>
      </w:r>
    </w:p>
    <w:p>
      <w:pPr>
        <w:pStyle w:val="ListBullet"/>
      </w:pPr>
      <w:r>
        <w:t>本轮没有修改实验业务实现、研究材料、核心状态机、Validator、运行时Prompt、账号/分组、数据库结构、迁移文件、环境变量、API Key或render.yaml。</w:t>
      </w:r>
    </w:p>
    <w:p>
      <w:pPr>
        <w:pStyle w:val="ListBullet"/>
      </w:pPr>
      <w:r>
        <w:t>本轮真实模型调用0次；真实模型三路径完整验收、人工语义审核、线上人工测试均为NOT RUN。</w:t>
      </w:r>
    </w:p>
    <w:p>
      <w:pPr>
        <w:pStyle w:val="ListBullet"/>
      </w:pPr>
      <w:r>
        <w:t>本地临时合成PostgreSQL的加密备份与隔离恢复通过，但不等于线上数据库备份或异地恢复通过。</w:t>
      </w:r>
    </w:p>
    <w:p>
      <w:pPr>
        <w:pStyle w:val="ListBullet"/>
      </w:pPr>
      <w:r>
        <w:t>Render当前Live提交、线上数据库关联、迁移账本、线上完整备份、隔离恢复及旧账号基线均未验证。</w:t>
      </w:r>
    </w:p>
    <w:p>
      <w:pPr>
        <w:pStyle w:val="ListBullet"/>
      </w:pPr>
      <w:r>
        <w:t>mentor_test_ready=false、formal_ready=false；当前放行结论为“仍阻塞”。</w:t>
      </w:r>
    </w:p>
    <w:p>
      <w:pPr>
        <w:pStyle w:val="Heading1"/>
      </w:pPr>
      <w:r>
        <w:t>2. 本轮任务：不改业务代码，先完成只读核验</w:t>
      </w:r>
    </w:p>
    <w:p>
      <w:r>
        <w:t>本轮重点是获得研究者可以安全确认的Render线上元信息，为后续备份与部署决策提供依据。不要为了“有代码改动”而修改实验逻辑或新增数据库迁移。</w:t>
      </w:r>
    </w:p>
    <w:p>
      <w:pPr>
        <w:pStyle w:val="Heading2"/>
      </w:pPr>
      <w:r>
        <w:t>Codex 必须完成</w:t>
      </w:r>
    </w:p>
    <w:p>
      <w:pPr>
        <w:pStyle w:val="ListNumber"/>
      </w:pPr>
      <w:r>
        <w:t>对照第41次交付包和当前GitHub work分支，报告当前分支头提交、round41-delivery对应提交，以及第41次实现提交45b699fd3b9ed33d3939e3d025f27dea708703c2之间的关系。不要假定实现提交就是最终交付提交。</w:t>
      </w:r>
    </w:p>
    <w:p>
      <w:pPr>
        <w:pStyle w:val="ListNumber"/>
      </w:pPr>
      <w:r>
        <w:t>列出哪些事实只能由研究者登录Render查看；不要声称已访问或验证Render，除非有真实证据。</w:t>
      </w:r>
    </w:p>
    <w:p>
      <w:pPr>
        <w:pStyle w:val="ListNumber"/>
      </w:pPr>
      <w:r>
        <w:t>给研究者提供以下只读操作步骤；不要要求研究者粘贴任何密钥、完整连接串、密码或管理员Token。</w:t>
      </w:r>
    </w:p>
    <w:p>
      <w:pPr>
        <w:pStyle w:val="ListNumber"/>
      </w:pPr>
      <w:r>
        <w:t>研究者返回脱敏信息后，先核对线上服务/数据库/提交是否一致，再提出备份和隔离恢复方案。未验证前不部署。</w:t>
      </w:r>
    </w:p>
    <w:p>
      <w:pPr>
        <w:pStyle w:val="Heading1"/>
      </w:pPr>
      <w:r>
        <w:t>3. 研究者现在只需手动完成这一组（约3–5分钟）</w:t>
      </w:r>
    </w:p>
    <w:p>
      <w:pPr>
        <w:pStyle w:val="Heading2"/>
      </w:pPr>
      <w:r>
        <w:t>A. 查看现有 Web 服务</w:t>
      </w:r>
    </w:p>
    <w:p>
      <w:pPr>
        <w:pStyle w:val="ListNumber"/>
      </w:pPr>
      <w:r>
        <w:t>打开Render Dashboard：https://dashboard.render.com/</w:t>
      </w:r>
    </w:p>
    <w:p>
      <w:pPr>
        <w:pStyle w:val="ListNumber"/>
      </w:pPr>
      <w:r>
        <w:t>进入现有项目，打开 ai-agent-research-staging。</w:t>
      </w:r>
    </w:p>
    <w:p>
      <w:pPr>
        <w:pStyle w:val="ListNumber"/>
      </w:pPr>
      <w:r>
        <w:t>进入 Deploys，查看标记为 Live 的部署。</w:t>
      </w:r>
    </w:p>
    <w:p>
      <w:pPr>
        <w:pStyle w:val="ListNumber"/>
      </w:pPr>
      <w:r>
        <w:t>记录Live完整提交哈希（如界面显示）、分支名、部署时间、服务方案是否为Free。</w:t>
      </w:r>
    </w:p>
    <w:p>
      <w:pPr>
        <w:pStyle w:val="ListNumber"/>
      </w:pPr>
      <w:r>
        <w:t>不要点击Manual Deploy，不要更改分支，不要创建新服务。</w:t>
      </w:r>
    </w:p>
    <w:p>
      <w:pPr>
        <w:pStyle w:val="Heading2"/>
      </w:pPr>
      <w:r>
        <w:t>B. 只查看环境变量，不编辑</w:t>
      </w:r>
    </w:p>
    <w:p>
      <w:pPr>
        <w:pStyle w:val="ListNumber"/>
      </w:pPr>
      <w:r>
        <w:t>在同一Web服务进入Settings或Environment。</w:t>
      </w:r>
    </w:p>
    <w:p>
      <w:pPr>
        <w:pStyle w:val="ListNumber"/>
      </w:pPr>
      <w:r>
        <w:t>只确认是否存在DATABASE_URL变量。</w:t>
      </w:r>
    </w:p>
    <w:p>
      <w:pPr>
        <w:pStyle w:val="ListNumber"/>
      </w:pPr>
      <w:r>
        <w:t>不要复制、显示、下载或发送其完整值；不要把截图拍到连接串、用户名、密码、Token或其他Secret。</w:t>
      </w:r>
    </w:p>
    <w:p>
      <w:pPr>
        <w:pStyle w:val="ListNumber"/>
      </w:pPr>
      <w:r>
        <w:t>如果值被隐藏，无法安全确认关联数据库，请记录“DATABASE_URL值被隐藏，无法从界面确认关联”，不要尝试绕过隐藏。</w:t>
      </w:r>
    </w:p>
    <w:p>
      <w:pPr>
        <w:pStyle w:val="Heading2"/>
      </w:pPr>
      <w:r>
        <w:t>C. 查看现有 PostgreSQL 服务</w:t>
      </w:r>
    </w:p>
    <w:p>
      <w:pPr>
        <w:pStyle w:val="ListNumber"/>
      </w:pPr>
      <w:r>
        <w:t>返回现有服务列表/项目总览，打开已有数据库 ai-agent-research-staging-db。</w:t>
      </w:r>
    </w:p>
    <w:p>
      <w:pPr>
        <w:pStyle w:val="ListNumber"/>
      </w:pPr>
      <w:r>
        <w:t>在Info、Recovery、Backups或界面实际提供的对应页面中，只查看并记录：数据库服务名和状态；PostgreSQL版本；当前方案/套餐；是否显示到期、保留期限或数据保留提示；是否有备份、下载备份、恢复或时间点恢复选项；如有，记录界面显示的备份频率/可恢复时间范围。</w:t>
      </w:r>
    </w:p>
    <w:p>
      <w:pPr>
        <w:pStyle w:val="ListNumber"/>
      </w:pPr>
      <w:r>
        <w:t>不点击Delete、Restore、Upgrade、Create Database等操作；不新建收费资源，不修改数据库设置。</w:t>
      </w:r>
    </w:p>
    <w:p>
      <w:pPr>
        <w:pStyle w:val="Heading2"/>
      </w:pPr>
      <w:r>
        <w:t>D. 回复给 Codex/本对话的非敏感信息</w:t>
      </w:r>
    </w:p>
    <w:p>
      <w:pPr>
        <w:pStyle w:val="ListBullet"/>
      </w:pPr>
      <w:r>
        <w:t>Web服务：ai-agent-research-staging。</w:t>
      </w:r>
    </w:p>
    <w:p>
      <w:pPr>
        <w:pStyle w:val="ListBullet"/>
      </w:pPr>
      <w:r>
        <w:t>Live提交哈希、分支、部署时间、方案（以界面实际显示为准）。</w:t>
      </w:r>
    </w:p>
    <w:p>
      <w:pPr>
        <w:pStyle w:val="ListBullet"/>
      </w:pPr>
      <w:r>
        <w:t>DATABASE_URL：存在/不存在/值隐藏而无法确认。</w:t>
      </w:r>
    </w:p>
    <w:p>
      <w:pPr>
        <w:pStyle w:val="ListBullet"/>
      </w:pPr>
      <w:r>
        <w:t>PostgreSQL服务：名称、状态、版本、方案。</w:t>
      </w:r>
    </w:p>
    <w:p>
      <w:pPr>
        <w:pStyle w:val="ListBullet"/>
      </w:pPr>
      <w:r>
        <w:t>备份/恢复选项：有/无/界面未找到；如有，记录显示的范围或保留时间。</w:t>
      </w:r>
    </w:p>
    <w:p>
      <w:pPr>
        <w:pStyle w:val="ListBullet"/>
      </w:pPr>
      <w:r>
        <w:t>到期/保留提示：原文摘要或“未显示”。</w:t>
      </w:r>
    </w:p>
    <w:p>
      <w:pPr>
        <w:pStyle w:val="ListBullet"/>
      </w:pPr>
      <w:r>
        <w:t>不含秘密信息的截图（截图前先检查并裁掉Secret）。</w:t>
      </w:r>
    </w:p>
    <w:p>
      <w:r>
        <w:t>停止条件：如果Web服务找不到、数据库名称不符、服务显示异常/到期风险、无法辨认当前连接，或界面要求升级/付费才能继续，请停止，不要自行修复、升级或创建资源，先反馈非敏感页面信息。</w:t>
      </w:r>
    </w:p>
    <w:p>
      <w:pPr>
        <w:pStyle w:val="Heading1"/>
      </w:pPr>
      <w:r>
        <w:t>4. 本轮禁止事项</w:t>
      </w:r>
    </w:p>
    <w:p>
      <w:pPr>
        <w:pStyle w:val="ListBullet"/>
      </w:pPr>
      <w:r>
        <w:t>不点击Manual Deploy，不触发Render部署。</w:t>
      </w:r>
    </w:p>
    <w:p>
      <w:pPr>
        <w:pStyle w:val="ListBullet"/>
      </w:pPr>
      <w:r>
        <w:t>不新建Blueprint、Web服务或数据库。</w:t>
      </w:r>
    </w:p>
    <w:p>
      <w:pPr>
        <w:pStyle w:val="ListBullet"/>
      </w:pPr>
      <w:r>
        <w:t>不修改或重填API Key、ADMIN_ACCESS_TOKEN、RESEARCH_BOOTSTRAP_SECRET、DATABASE_URL。</w:t>
      </w:r>
    </w:p>
    <w:p>
      <w:pPr>
        <w:pStyle w:val="ListBullet"/>
      </w:pPr>
      <w:r>
        <w:t>不清库、不重置账号、不删除旧实验、不执行破坏性迁移或down migration。</w:t>
      </w:r>
    </w:p>
    <w:p>
      <w:pPr>
        <w:pStyle w:val="ListBullet"/>
      </w:pPr>
      <w:r>
        <w:t>不运行只针对专用production数据库的备份脚本来处理staging；不得把staging的scope改成production以绕过保护。</w:t>
      </w:r>
    </w:p>
    <w:p>
      <w:pPr>
        <w:pStyle w:val="ListBullet"/>
      </w:pPr>
      <w:r>
        <w:t>不把本地合成数据库恢复报告当作线上/异地备份证据。</w:t>
      </w:r>
    </w:p>
    <w:p>
      <w:pPr>
        <w:pStyle w:val="ListBullet"/>
      </w:pPr>
      <w:r>
        <w:t>不把本地浏览器测试、Mock模型结果或自动脚本点击称为研究者人工测试或线上验收。</w:t>
      </w:r>
    </w:p>
    <w:p>
      <w:pPr>
        <w:pStyle w:val="Heading1"/>
      </w:pPr>
      <w:r>
        <w:t>5. 收到研究者信息后，Codex 的下一步</w:t>
      </w:r>
    </w:p>
    <w:p>
      <w:pPr>
        <w:pStyle w:val="ListNumber"/>
      </w:pPr>
      <w:r>
        <w:t>将研究者提供的元信息与仓库中的目标提交、Render服务、数据库资源逐项对照；未知项标为NOT VERIFIED。</w:t>
      </w:r>
    </w:p>
    <w:p>
      <w:pPr>
        <w:pStyle w:val="ListNumber"/>
      </w:pPr>
      <w:r>
        <w:t>根据实际托管方案和可用权限，提出可执行的完整PostgreSQL备份、加密保存、独立隔离恢复方案。备份至少覆盖账号哈希、参与者、实验分配、会话、消息/通知、状态、变量、事件、评分、研究配置和迁移账本。</w:t>
      </w:r>
    </w:p>
    <w:p>
      <w:pPr>
        <w:pStyle w:val="ListNumber"/>
      </w:pPr>
      <w:r>
        <w:t>备份和密钥分开保管；记录备份SHA256、来源数据库标识、隔离目标标识、表计数/约束校验及恢复登录验证。不得把真实备份、密码或Secret提交GitHub。</w:t>
      </w:r>
    </w:p>
    <w:p>
      <w:pPr>
        <w:pStyle w:val="ListNumber"/>
      </w:pPr>
      <w:r>
        <w:t>若现有Free资源无法提供可验证备份/恢复能力，说明事实、可选方案及费用影响，等待研究者选择；不得自行升级或付费。</w:t>
      </w:r>
    </w:p>
    <w:p>
      <w:pPr>
        <w:pStyle w:val="ListNumber"/>
      </w:pPr>
      <w:r>
        <w:t>部署前保存既有测试账号的实验UUID、分组、会话、消息、评分基线（报告只用脱敏编号，不记录密码）。</w:t>
      </w:r>
    </w:p>
    <w:p>
      <w:pPr>
        <w:pStyle w:val="ListNumber"/>
      </w:pPr>
      <w:r>
        <w:t>只有在备份和隔离恢复通过、目标提交和数据库关联明确、迁移兼容性已核实后，才向研究者请求一次明确的部署批准。没有批准就不部署。</w:t>
      </w:r>
    </w:p>
    <w:p>
      <w:pPr>
        <w:pStyle w:val="Heading1"/>
      </w:pPr>
      <w:r>
        <w:t>6. 下一轮线上内部测试门槛</w:t>
      </w:r>
    </w:p>
    <w:p>
      <w:r>
        <w:t>部署获批并完成后，才执行第41次交付包 docs/acceptance/step6-round41/manual-checklist.md 中约25–35分钟的线上smoke test：</w:t>
      </w:r>
    </w:p>
    <w:p>
      <w:pPr>
        <w:pStyle w:val="ListBullet"/>
      </w:pPr>
      <w:r>
        <w:t>旧测试账号登录、刷新、退出后重新登录；验证分组、会话、消息顺序和评分不变。</w:t>
      </w:r>
    </w:p>
    <w:p>
      <w:pPr>
        <w:pStyle w:val="ListBullet"/>
      </w:pPr>
      <w:r>
        <w:t>日常路径：至少3条合成短消息，核对每轮单气泡、长度、身份/头像与历史恢复。</w:t>
      </w:r>
    </w:p>
    <w:p>
      <w:pPr>
        <w:pStyle w:val="ListBullet"/>
      </w:pPr>
      <w:r>
        <w:t>情感路径：至少5轮，包含一次模糊人物指代；核对开场顺序、人物归属、气泡规则与普通消息直发。</w:t>
      </w:r>
    </w:p>
    <w:p>
      <w:pPr>
        <w:pStyle w:val="ListBullet"/>
      </w:pPr>
      <w:r>
        <w:t>认知路径：本人提交观点确认和评分，推进至少一个重构阶段；核对卡片时序、普通消息无需确认、状态不跳跃。</w:t>
      </w:r>
    </w:p>
    <w:p>
      <w:pPr>
        <w:pStyle w:val="ListBullet"/>
      </w:pPr>
      <w:r>
        <w:t>管理员：核对会话全文、时间戳、顺序、路径/分组、评分事件及导出；确认参与者不能查看他人记录。</w:t>
      </w:r>
    </w:p>
    <w:p>
      <w:pPr>
        <w:pStyle w:val="ListBullet"/>
      </w:pPr>
      <w:r>
        <w:t>每条路径刷新/退出/重登后，与管理员记录逐条核对。</w:t>
      </w:r>
    </w:p>
    <w:p>
      <w:r>
        <w:t>任一账号、分组、历史、评分或权限异常，立即停止继续写入，保留脱敏证据；不得清库、重置账号或盲目回滚。</w:t>
      </w:r>
    </w:p>
    <w:p>
      <w:pPr>
        <w:pStyle w:val="Heading1"/>
      </w:pPr>
      <w:r>
        <w:t>7. 每轮交付报告格式</w:t>
      </w:r>
    </w:p>
    <w:p>
      <w:pPr>
        <w:pStyle w:val="ListNumber"/>
      </w:pPr>
      <w:r>
        <w:t>基线提交、实现提交、最终交付提交、是否部署及实际Live提交。</w:t>
      </w:r>
    </w:p>
    <w:p>
      <w:pPr>
        <w:pStyle w:val="ListNumber"/>
      </w:pPr>
      <w:r>
        <w:t>本轮改动文件与受保护范围是否变化。</w:t>
      </w:r>
    </w:p>
    <w:p>
      <w:pPr>
        <w:pStyle w:val="ListNumber"/>
      </w:pPr>
      <w:r>
        <w:t>自动测试命令、退出码、测试数、失败/跳过数和日志。</w:t>
      </w:r>
    </w:p>
    <w:p>
      <w:pPr>
        <w:pStyle w:val="ListNumber"/>
      </w:pPr>
      <w:r>
        <w:t>真实模型调用次数及状态；未执行项目标NOT RUN。</w:t>
      </w:r>
    </w:p>
    <w:p>
      <w:pPr>
        <w:pStyle w:val="ListNumber"/>
      </w:pPr>
      <w:r>
        <w:t>研究者手动步骤、预期结果、停止条件和实际结果。</w:t>
      </w:r>
    </w:p>
    <w:p>
      <w:pPr>
        <w:pStyle w:val="ListNumber"/>
      </w:pPr>
      <w:r>
        <w:t>线上数据库/备份/隔离恢复/旧账号基线的证据或NOT VERIFIED。</w:t>
      </w:r>
    </w:p>
    <w:p>
      <w:pPr>
        <w:pStyle w:val="ListNumber"/>
      </w:pPr>
      <w:r>
        <w:t>放行结论仅可为：可继续本地测试、可部署到内部测试站、仍阻塞、可申请正式实验验收。</w:t>
      </w:r>
    </w:p>
    <w:p>
      <w:r>
        <w:t>本轮预期结论：仍阻塞；不部署。本轮人工操作仅为Render元信息只读核验。四组原始头像、真实模型三路径完整验收与人工语义审核、30人真实托管并发、14个自然日续用或经研究者批准的替代方案、异地恢复和正式招募/隐私审批仍是独立阻塞项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