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第28次反馈：线上部署与研究平台验收推进</w:t>
      </w:r>
    </w:p>
    <w:p>
      <w:r>
        <w:br/>
        <w:t>一、当前目标</w:t>
        <w:br/>
        <w:br/>
        <w:t>当前项目目标从本地可运行原型转向可用于真实实验招募的平台。</w:t>
        <w:br/>
        <w:t>目标：</w:t>
        <w:br/>
        <w:t>1. 参与者通过网址访问，无需安装软件；</w:t>
        <w:br/>
        <w:t>2. 支持至少30人同时作答；</w:t>
        <w:br/>
        <w:t>3. 实验数据可安全保存并完整导出。</w:t>
        <w:br/>
        <w:br/>
        <w:br/>
        <w:t>二、Codex继续完成事项</w:t>
        <w:br/>
        <w:br/>
        <w:t>1. 基于最新代码确认线上部署方案，不再以Windows本地运行作为最终交付。</w:t>
        <w:br/>
        <w:t>2. 优先选择低维护托管方案，避免研究者自行管理服务器。</w:t>
        <w:br/>
        <w:t>3. 输出明确部署流程：</w:t>
        <w:br/>
        <w:t xml:space="preserve">   - 哪些步骤需要用户手动完成；</w:t>
        <w:br/>
        <w:t xml:space="preserve">   - 哪些步骤由Codex完成；</w:t>
        <w:br/>
        <w:t xml:space="preserve">   - 是否需要额外账号或费用。</w:t>
        <w:br/>
        <w:t>4. 完成staging环境后提供Preview URL，供研究者人工体验。</w:t>
        <w:br/>
        <w:br/>
        <w:br/>
        <w:t>三、重点检查项目</w:t>
        <w:br/>
        <w:br/>
        <w:t>1. DeepSeek API Secret是否正确绑定线上环境。</w:t>
        <w:br/>
        <w:t>2. 环境变量是否区分开发、测试、正式环境。</w:t>
        <w:br/>
        <w:t>3. 数据库是否支持多用户同时写入。</w:t>
        <w:br/>
        <w:t>4. participant/session状态是否完全隔离。</w:t>
        <w:br/>
        <w:t>5. API失败、超时、刷新页面后的恢复机制。</w:t>
        <w:br/>
        <w:br/>
        <w:br/>
        <w:t>四、30人并发验收标准</w:t>
        <w:br/>
        <w:br/>
        <w:t>至少模拟30个独立参与者同时进入：</w:t>
        <w:br/>
        <w:br/>
        <w:t>- 可以正常创建实验会话；</w:t>
        <w:br/>
        <w:t>- 不出现角色、状态、历史消息串线；</w:t>
        <w:br/>
        <w:t>- 对话记录完整保存；</w:t>
        <w:br/>
        <w:t>- AI响应稳定；</w:t>
        <w:br/>
        <w:t>- 数据导出字段完整。</w:t>
        <w:br/>
        <w:br/>
        <w:br/>
        <w:t>五、需要用户手动操作的事项</w:t>
        <w:br/>
        <w:br/>
        <w:t>预计用户只需要：</w:t>
        <w:br/>
        <w:br/>
        <w:t>1. 注册或授权部署平台账号（若平台要求）。</w:t>
        <w:br/>
        <w:t>2. 在Secret中填写个人API Key。</w:t>
        <w:br/>
        <w:t>3. 确认公开访问权限。</w:t>
        <w:br/>
        <w:t>4. 完成正式实验前人工体验测试。</w:t>
        <w:br/>
        <w:br/>
        <w:t>不建议用户自行修改代码、服务器和数据库配置。</w:t>
        <w:br/>
        <w:br/>
        <w:br/>
        <w:t>六、邀请导师测试前置条件</w:t>
        <w:br/>
        <w:br/>
        <w:t>满足以下条件后再提供测试链接：</w:t>
        <w:br/>
        <w:br/>
        <w:t>1. 有稳定Preview URL；</w:t>
        <w:br/>
        <w:t>2. 研究者完成一次完整认知路径和情感路径测试；</w:t>
        <w:br/>
        <w:t>3. 数据成功导出；</w:t>
        <w:br/>
        <w:t>4. 30人并发基础测试通过。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