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线上部署和导师体验验收清单</w:t>
      </w:r>
    </w:p>
    <w:p>
      <w:r>
        <w:t>2026-10-14，第30次仓库交付；本次源附件标题为第28次反馈。只推荐Render；现有同域Web＋独立PG Blueprint不变。本清单是上线后操作与验收表，不代表网址已经存在。</w:t>
      </w:r>
    </w:p>
    <w:p>
      <w:pPr>
        <w:pStyle w:val="Heading2"/>
      </w:pPr>
      <w:r>
        <w:t>谁完成什么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执行者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</w:tr>
      <w:tr>
        <w:tc>
          <w:tcPr>
            <w:tcW w:type="dxa" w:w="2880"/>
          </w:tcPr>
          <w:p>
            <w:r>
              <w:t>Docker构建、同域API、健康检查、迁移、固定账号初始化</w:t>
            </w:r>
          </w:p>
        </w:tc>
        <w:tc>
          <w:tcPr>
            <w:tcW w:type="dxa" w:w="2880"/>
          </w:tcPr>
          <w:p>
            <w:r>
              <w:t>Codex</w:t>
            </w:r>
          </w:p>
        </w:tc>
        <w:tc>
          <w:tcPr>
            <w:tcW w:type="dxa" w:w="2880"/>
          </w:tcPr>
          <w:p>
            <w:r>
              <w:t>上轮包内验证完成，本轮代码复核</w:t>
            </w:r>
          </w:p>
        </w:tc>
      </w:tr>
      <w:tr>
        <w:tc>
          <w:tcPr>
            <w:tcW w:type="dxa" w:w="2880"/>
          </w:tcPr>
          <w:p>
            <w:r>
              <w:t>GitHub仓库代码/说明/测试证据/完整ZIP</w:t>
            </w:r>
          </w:p>
        </w:tc>
        <w:tc>
          <w:tcPr>
            <w:tcW w:type="dxa" w:w="2880"/>
          </w:tcPr>
          <w:p>
            <w:r>
              <w:t>Codex</w:t>
            </w:r>
          </w:p>
        </w:tc>
        <w:tc>
          <w:tcPr>
            <w:tcW w:type="dxa" w:w="2880"/>
          </w:tcPr>
          <w:p>
            <w:r>
              <w:t>本轮发布</w:t>
            </w:r>
          </w:p>
        </w:tc>
      </w:tr>
      <w:tr>
        <w:tc>
          <w:tcPr>
            <w:tcW w:type="dxa" w:w="2880"/>
          </w:tcPr>
          <w:p>
            <w:r>
              <w:t>Render账号/指定仓库授权</w:t>
            </w:r>
          </w:p>
        </w:tc>
        <w:tc>
          <w:tcPr>
            <w:tcW w:type="dxa" w:w="2880"/>
          </w:tcPr>
          <w:p>
            <w:r>
              <w:t>研究者</w:t>
            </w:r>
          </w:p>
        </w:tc>
        <w:tc>
          <w:tcPr>
            <w:tcW w:type="dxa" w:w="2880"/>
          </w:tcPr>
          <w:p>
            <w:r>
              <w:t>尚未提供授权</w:t>
            </w:r>
          </w:p>
        </w:tc>
      </w:tr>
      <w:tr>
        <w:tc>
          <w:tcPr>
            <w:tcW w:type="dxa" w:w="2880"/>
          </w:tcPr>
          <w:p>
            <w:r>
              <w:t>服务器DeepSeek Secret</w:t>
            </w:r>
          </w:p>
        </w:tc>
        <w:tc>
          <w:tcPr>
            <w:tcW w:type="dxa" w:w="2880"/>
          </w:tcPr>
          <w:p>
            <w:r>
              <w:t>研究者在Render平台填写</w:t>
            </w:r>
          </w:p>
        </w:tc>
        <w:tc>
          <w:tcPr>
            <w:tcW w:type="dxa" w:w="2880"/>
          </w:tcPr>
          <w:p>
            <w:r>
              <w:t>Codex密钥绑定不自动迁移到Render</w:t>
            </w:r>
          </w:p>
        </w:tc>
      </w:tr>
      <w:tr>
        <w:tc>
          <w:tcPr>
            <w:tcW w:type="dxa" w:w="2880"/>
          </w:tcPr>
          <w:p>
            <w:r>
              <w:t>Web/DB套餐费用确认</w:t>
            </w:r>
          </w:p>
        </w:tc>
        <w:tc>
          <w:tcPr>
            <w:tcW w:type="dxa" w:w="2880"/>
          </w:tcPr>
          <w:p>
            <w:r>
              <w:t>研究者</w:t>
            </w:r>
          </w:p>
        </w:tc>
        <w:tc>
          <w:tcPr>
            <w:tcW w:type="dxa" w:w="2880"/>
          </w:tcPr>
          <w:p>
            <w:r>
              <w:t>控制台报价待确认，不自动购买</w:t>
            </w:r>
          </w:p>
        </w:tc>
      </w:tr>
      <w:tr>
        <w:tc>
          <w:tcPr>
            <w:tcW w:type="dxa" w:w="2880"/>
          </w:tcPr>
          <w:p>
            <w:r>
              <w:t>Blueprint部署/复制实际HTTPS地址</w:t>
            </w:r>
          </w:p>
        </w:tc>
        <w:tc>
          <w:tcPr>
            <w:tcW w:type="dxa" w:w="2880"/>
          </w:tcPr>
          <w:p>
            <w:r>
              <w:t>研究者控制台授权后创建</w:t>
            </w:r>
          </w:p>
        </w:tc>
        <w:tc>
          <w:tcPr>
            <w:tcW w:type="dxa" w:w="2880"/>
          </w:tcPr>
          <w:p>
            <w:r>
              <w:t>尚无资源/URL</w:t>
            </w:r>
          </w:p>
        </w:tc>
      </w:tr>
      <w:tr>
        <w:tc>
          <w:tcPr>
            <w:tcW w:type="dxa" w:w="2880"/>
          </w:tcPr>
          <w:p>
            <w:r>
              <w:t>外部访问与线上安全/持久化验收</w:t>
            </w:r>
          </w:p>
        </w:tc>
        <w:tc>
          <w:tcPr>
            <w:tcW w:type="dxa" w:w="2880"/>
          </w:tcPr>
          <w:p>
            <w:r>
              <w:t>研究者提供实际URL后共同验证</w:t>
            </w:r>
          </w:p>
        </w:tc>
        <w:tc>
          <w:tcPr>
            <w:tcW w:type="dxa" w:w="2880"/>
          </w:tcPr>
          <w:p>
            <w:r>
              <w:t>未执行</w:t>
            </w:r>
          </w:p>
        </w:tc>
      </w:tr>
      <w:tr>
        <w:tc>
          <w:tcPr>
            <w:tcW w:type="dxa" w:w="2880"/>
          </w:tcPr>
          <w:p>
            <w:r>
              <w:t>人工自由体验/语言评分</w:t>
            </w:r>
          </w:p>
        </w:tc>
        <w:tc>
          <w:tcPr>
            <w:tcW w:type="dxa" w:w="2880"/>
          </w:tcPr>
          <w:p>
            <w:r>
              <w:t>研究者</w:t>
            </w:r>
          </w:p>
        </w:tc>
        <w:tc>
          <w:tcPr>
            <w:tcW w:type="dxa" w:w="2880"/>
          </w:tcPr>
          <w:p>
            <w:r>
              <w:t>不用脚本代签</w:t>
            </w:r>
          </w:p>
        </w:tc>
      </w:tr>
      <w:tr>
        <w:tc>
          <w:tcPr>
            <w:tcW w:type="dxa" w:w="2880"/>
          </w:tcPr>
          <w:p>
            <w:r>
              <w:t>付费30人模型预算</w:t>
            </w:r>
          </w:p>
        </w:tc>
        <w:tc>
          <w:tcPr>
            <w:tcW w:type="dxa" w:w="2880"/>
          </w:tcPr>
          <w:p>
            <w:r>
              <w:t>研究者明确批准后执行</w:t>
            </w:r>
          </w:p>
        </w:tc>
        <w:tc>
          <w:tcPr>
            <w:tcW w:type="dxa" w:w="2880"/>
          </w:tcPr>
          <w:p>
            <w:r>
              <w:t>未执行</w:t>
            </w:r>
          </w:p>
        </w:tc>
      </w:tr>
    </w:tbl>
    <w:p>
      <w:r>
        <w:t>操作入口：Render Blueprint（https://render.com/deploy?repo=https://github.com/qianmengyan008-sys/AI-Agent-Research-Platform）。完整六步见 render-hosted-deployment-guide.md。需要额外Render账号，采用Standard Web＋Basic1GB PostgreSQL作为初始测试配置，价格以账户控制台为准；DeepSeek另计费。参与者无需注册部署平台、安装Node/Docker或管理服务器，只领取本人账号。</w:t>
      </w:r>
    </w:p>
    <w:p>
      <w:pPr>
        <w:pStyle w:val="Heading2"/>
      </w:pPr>
      <w:r>
        <w:t>环境区分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环境</w:t>
            </w:r>
          </w:p>
        </w:tc>
        <w:tc>
          <w:tcPr>
            <w:tcW w:type="dxa" w:w="2880"/>
          </w:tcPr>
          <w:p>
            <w:r>
              <w:t>数据/秘密边界</w:t>
            </w:r>
          </w:p>
        </w:tc>
        <w:tc>
          <w:tcPr>
            <w:tcW w:type="dxa" w:w="2880"/>
          </w:tcPr>
          <w:p>
            <w:r>
              <w:t>本轮验证范围</w:t>
            </w:r>
          </w:p>
        </w:tc>
      </w:tr>
      <w:tr>
        <w:tc>
          <w:tcPr>
            <w:tcW w:type="dxa" w:w="2880"/>
          </w:tcPr>
          <w:p>
            <w:r>
              <w:t>开发/本地排障</w:t>
            </w:r>
          </w:p>
        </w:tc>
        <w:tc>
          <w:tcPr>
            <w:tcW w:type="dxa" w:w="2880"/>
          </w:tcPr>
          <w:p>
            <w:r>
              <w:t>原本地helper的独立PG，私人运行目录；不接WorkBuddy</w:t>
            </w:r>
          </w:p>
        </w:tc>
        <w:tc>
          <w:tcPr>
            <w:tcW w:type="dxa" w:w="2880"/>
          </w:tcPr>
          <w:p>
            <w:r>
              <w:t>原实现保留，不作为最终交付</w:t>
            </w:r>
          </w:p>
        </w:tc>
      </w:tr>
      <w:tr>
        <w:tc>
          <w:tcPr>
            <w:tcW w:type="dxa" w:w="2880"/>
          </w:tcPr>
          <w:p>
            <w:r>
              <w:t>自动化测试</w:t>
            </w:r>
          </w:p>
        </w:tc>
        <w:tc>
          <w:tcPr>
            <w:tcW w:type="dxa" w:w="2880"/>
          </w:tcPr>
          <w:p>
            <w:r>
              <w:t>测试自建PG、显式Mock/fixture、离线假Secret</w:t>
            </w:r>
          </w:p>
        </w:tc>
        <w:tc>
          <w:tcPr>
            <w:tcW w:type="dxa" w:w="2880"/>
          </w:tcPr>
          <w:p>
            <w:r>
              <w:t>普通全回归/30人真实HTTP与PG工程测试</w:t>
            </w:r>
          </w:p>
        </w:tc>
      </w:tr>
      <w:tr>
        <w:tc>
          <w:tcPr>
            <w:tcW w:type="dxa" w:w="2880"/>
          </w:tcPr>
          <w:p>
            <w:r>
              <w:t>Render staging</w:t>
            </w:r>
          </w:p>
        </w:tc>
        <w:tc>
          <w:tcPr>
            <w:tcW w:type="dxa" w:w="2880"/>
          </w:tcPr>
          <w:p>
            <w:r>
              <w:t>NODE_ENV=production是Node运行模式；RESEARCH_DATABASE_SCOPE=isolated-staging是实验部署范围；平台独立DB和Secret</w:t>
            </w:r>
          </w:p>
        </w:tc>
        <w:tc>
          <w:tcPr>
            <w:tcW w:type="dxa" w:w="2880"/>
          </w:tcPr>
          <w:p>
            <w:r>
              <w:t>配置已准备，线上绑定/创建未验证</w:t>
            </w:r>
          </w:p>
        </w:tc>
      </w:tr>
      <w:tr>
        <w:tc>
          <w:tcPr>
            <w:tcW w:type="dxa" w:w="2880"/>
          </w:tcPr>
          <w:p>
            <w:r>
              <w:t>正式研究</w:t>
            </w:r>
          </w:p>
        </w:tc>
        <w:tc>
          <w:tcPr>
            <w:tcW w:type="dxa" w:w="2880"/>
          </w:tcPr>
          <w:p>
            <w:r>
              <w:t>必须另行确定独立资源、正式Secret、数据管理与版本审批</w:t>
            </w:r>
          </w:p>
        </w:tc>
        <w:tc>
          <w:tcPr>
            <w:tcW w:type="dxa" w:w="2880"/>
          </w:tcPr>
          <w:p>
            <w:r>
              <w:t>尚未配置/部署；staging不等于formal</w:t>
            </w:r>
          </w:p>
        </w:tc>
      </w:tr>
    </w:tbl>
    <w:p>
      <w:r>
        <w:t>NODE_ENV=production不表示“已获准正式实验”。当前托管启动器只接受isolated-staging，不允许靠把标记改为formal复用体验库。已有批次模型/研究参数冻结，不静默覆盖；新批次B002保留B001。ADMIN_DEVELOPMENT_MODE=true 是授权管理员的只读诊断开关，不是参与者权限。正式环境是否关闭诊断须另行审批，不改变本轮冻结逻辑。</w:t>
      </w:r>
    </w:p>
    <w:p>
      <w:pPr>
        <w:pStyle w:val="Heading2"/>
      </w:pPr>
      <w:r>
        <w:t>上线后逐项留下证据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</w:t>
            </w:r>
          </w:p>
        </w:tc>
        <w:tc>
          <w:tcPr>
            <w:tcW w:type="dxa" w:w="2880"/>
          </w:tcPr>
          <w:p>
            <w:r>
              <w:t>通过证据</w:t>
            </w:r>
          </w:p>
        </w:tc>
        <w:tc>
          <w:tcPr>
            <w:tcW w:type="dxa" w:w="2880"/>
          </w:tcPr>
          <w:p>
            <w:r>
              <w:t>目前</w:t>
            </w:r>
          </w:p>
        </w:tc>
      </w:tr>
      <w:tr>
        <w:tc>
          <w:tcPr>
            <w:tcW w:type="dxa" w:w="2880"/>
          </w:tcPr>
          <w:p>
            <w:r>
              <w:t>稳定HTTPS</w:t>
            </w:r>
          </w:p>
        </w:tc>
        <w:tc>
          <w:tcPr>
            <w:tcW w:type="dxa" w:w="2880"/>
          </w:tcPr>
          <w:p>
            <w:r>
              <w:t>不同设备可打开真实网址，/api/ready查询PG成功；不用研究者电脑常开</w:t>
            </w:r>
          </w:p>
        </w:tc>
        <w:tc>
          <w:tcPr>
            <w:tcW w:type="dxa" w:w="2880"/>
          </w:tcPr>
          <w:p>
            <w:r>
              <w:t>not_run</w:t>
            </w:r>
          </w:p>
        </w:tc>
      </w:tr>
      <w:tr>
        <w:tc>
          <w:tcPr>
            <w:tcW w:type="dxa" w:w="2880"/>
          </w:tcPr>
          <w:p>
            <w:r>
              <w:t>线上Secret正确绑定</w:t>
            </w:r>
          </w:p>
        </w:tc>
        <w:tc>
          <w:tcPr>
            <w:tcW w:type="dxa" w:w="2880"/>
          </w:tcPr>
          <w:p>
            <w:r>
              <w:t>Render服务Secret存在，安全受控单次请求成功，记录模型/HTTP/耗时，不输出密钥</w:t>
            </w:r>
          </w:p>
        </w:tc>
        <w:tc>
          <w:tcPr>
            <w:tcW w:type="dxa" w:w="2880"/>
          </w:tcPr>
          <w:p>
            <w:r>
              <w:t>not_run，不能用Codex存在Secret代替</w:t>
            </w:r>
          </w:p>
        </w:tc>
      </w:tr>
      <w:tr>
        <w:tc>
          <w:tcPr>
            <w:tcW w:type="dxa" w:w="2880"/>
          </w:tcPr>
          <w:p>
            <w:r>
              <w:t>多人独立写入</w:t>
            </w:r>
          </w:p>
        </w:tc>
        <w:tc>
          <w:tcPr>
            <w:tcW w:type="dxa" w:w="2880"/>
          </w:tcPr>
          <w:p>
            <w:r>
              <w:t>30独立participant/session混合3路径多轮，状态/变量/消息/角色隔离</w:t>
            </w:r>
          </w:p>
        </w:tc>
        <w:tc>
          <w:tcPr>
            <w:tcW w:type="dxa" w:w="2880"/>
          </w:tcPr>
          <w:p>
            <w:r>
              <w:t>本机fixture通过；云环境未测</w:t>
            </w:r>
          </w:p>
        </w:tc>
      </w:tr>
      <w:tr>
        <w:tc>
          <w:tcPr>
            <w:tcW w:type="dxa" w:w="2880"/>
          </w:tcPr>
          <w:p>
            <w:r>
              <w:t>模型稳定性</w:t>
            </w:r>
          </w:p>
        </w:tc>
        <w:tc>
          <w:tcPr>
            <w:tcW w:type="dxa" w:w="2880"/>
          </w:tcPr>
          <w:p>
            <w:r>
              <w:t>已批准预算后记录真实429/5xx、延迟、重试/兜底和消费</w:t>
            </w:r>
          </w:p>
        </w:tc>
        <w:tc>
          <w:tcPr>
            <w:tcW w:type="dxa" w:w="2880"/>
          </w:tcPr>
          <w:p>
            <w:r>
              <w:t>not_run</w:t>
            </w:r>
          </w:p>
        </w:tc>
      </w:tr>
      <w:tr>
        <w:tc>
          <w:tcPr>
            <w:tcW w:type="dxa" w:w="2880"/>
          </w:tcPr>
          <w:p>
            <w:r>
              <w:t>请求失败/超时</w:t>
            </w:r>
          </w:p>
        </w:tc>
        <w:tc>
          <w:tcPr>
            <w:tcW w:type="dxa" w:w="2880"/>
          </w:tcPr>
          <w:p>
            <w:r>
              <w:t>失败不会推进状态，幂等重试，刷新/重新登录恢复已保存记录</w:t>
            </w:r>
          </w:p>
        </w:tc>
        <w:tc>
          <w:tcPr>
            <w:tcW w:type="dxa" w:w="2880"/>
          </w:tcPr>
          <w:p>
            <w:r>
              <w:t>原自动浏览器回归覆盖；外部弱网待测</w:t>
            </w:r>
          </w:p>
        </w:tc>
      </w:tr>
      <w:tr>
        <w:tc>
          <w:tcPr>
            <w:tcW w:type="dxa" w:w="2880"/>
          </w:tcPr>
          <w:p>
            <w:r>
              <w:t>导出完整</w:t>
            </w:r>
          </w:p>
        </w:tc>
        <w:tc>
          <w:tcPr>
            <w:tcW w:type="dxa" w:w="2880"/>
          </w:tcPr>
          <w:p>
            <w:r>
              <w:t>complete=true，字段与版本齐全，完整性检查零异常</w:t>
            </w:r>
          </w:p>
        </w:tc>
        <w:tc>
          <w:tcPr>
            <w:tcW w:type="dxa" w:w="2880"/>
          </w:tcPr>
          <w:p>
            <w:r>
              <w:t>本机通过；云端待测</w:t>
            </w:r>
          </w:p>
        </w:tc>
      </w:tr>
      <w:tr>
        <w:tc>
          <w:tcPr>
            <w:tcW w:type="dxa" w:w="2880"/>
          </w:tcPr>
          <w:p>
            <w:r>
              <w:t>权限</w:t>
            </w:r>
          </w:p>
        </w:tc>
        <w:tc>
          <w:tcPr>
            <w:tcW w:type="dxa" w:w="2880"/>
          </w:tcPr>
          <w:p>
            <w:r>
              <w:t>参与者不能获取管理账号/导出/诊断/其他参与者turn；导出/日志无Secret</w:t>
            </w:r>
          </w:p>
        </w:tc>
        <w:tc>
          <w:tcPr>
            <w:tcW w:type="dxa" w:w="2880"/>
          </w:tcPr>
          <w:p>
            <w:r>
              <w:t>本机通过；云端待测</w:t>
            </w:r>
          </w:p>
        </w:tc>
      </w:tr>
      <w:tr>
        <w:tc>
          <w:tcPr>
            <w:tcW w:type="dxa" w:w="2880"/>
          </w:tcPr>
          <w:p>
            <w:r>
              <w:t>重启/持久化</w:t>
            </w:r>
          </w:p>
        </w:tc>
        <w:tc>
          <w:tcPr>
            <w:tcW w:type="dxa" w:w="2880"/>
          </w:tcPr>
          <w:p>
            <w:r>
              <w:t>平台Web重启后原state/message/variable/model run/版本不变，重登恢复</w:t>
            </w:r>
          </w:p>
        </w:tc>
        <w:tc>
          <w:tcPr>
            <w:tcW w:type="dxa" w:w="2880"/>
          </w:tcPr>
          <w:p>
            <w:r>
              <w:t>上轮Docker通过；Render待测</w:t>
            </w:r>
          </w:p>
        </w:tc>
      </w:tr>
      <w:tr>
        <w:tc>
          <w:tcPr>
            <w:tcW w:type="dxa" w:w="2880"/>
          </w:tcPr>
          <w:p>
            <w:r>
              <w:t>人工完整路径</w:t>
            </w:r>
          </w:p>
        </w:tc>
        <w:tc>
          <w:tcPr>
            <w:tcW w:type="dxa" w:w="2880"/>
          </w:tcPr>
          <w:p>
            <w:r>
              <w:t>研究者本人认知/情感完整非脚本体验，另检查日常路径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同批语言质量</w:t>
            </w:r>
          </w:p>
        </w:tc>
        <w:tc>
          <w:tcPr>
            <w:tcW w:type="dxa" w:w="2880"/>
          </w:tcPr>
          <w:p>
            <w:r>
              <w:t>六维人工审核，A问题清零/主要B整改复验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>
      <w:r>
        <w:t>本轮不会为了上线重写核心或让用户手改代码/数据库。获得真实URL后，先研究者完整体验与数据导出/人评，再3–5个内部设备测试，最后获批真实30并发；这些条件通过后才将链接交给老师。正式招募还需导师验收和正式条件，不等于老师试用即自动批准招募。</w:t>
      </w:r>
    </w:p>
    <w:p>
      <w:r>
        <w:t>付费计划沿用 round29-real-concurrency-plan.md：30人6轮预计160模型生成、最多320 HTTP尝试，需账户有效报价/金额上限确认。本机fixture无需模型费用；本轮不做新的真实请求。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第30次交付 · 线上验收推进／导师暂未放行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