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第30次交付验收报告</w:t>
      </w:r>
    </w:p>
    <w:p>
      <w:r>
        <w:t>2026-10-14。输入附件标题第28次反馈；本轮仓库材料连续编号30。当前代码基线c751e4a8e3ed43d204fdd1b3a907d3bec897e086。本轮仅新增验收、操作清单和进度简报，不修改应用、实验核心、Prompt、冻结参数、数据库、部署程序或依赖。</w:t>
      </w:r>
    </w:p>
    <w:p>
      <w:pPr>
        <w:pStyle w:val="Heading2"/>
      </w:pPr>
      <w:r>
        <w:t>结论</w:t>
      </w:r>
    </w:p>
    <w:p>
      <w:r>
        <w:t>核心功能与本机工程验收通过，Render部署配置具备；线上环境尚未创建，external_url=null。researcher_online_self_test_ready=false、mentor_test_ready=false、formal_ready=false。本轮没有任何真实模型调用或云付费资源创建。</w:t>
      </w:r>
    </w:p>
    <w:p>
      <w:r>
        <w:t>用户手动范围是Render账号和指定仓库授权、服务器Secret填写、套餐费用确认与点击部署；参与者只用浏览器领取本人账号。操作步骤已经提供，不需要用户自行改代码/服务器/数据库。当前工具没有可长期托管Site/Preview能力，不能替研究者在未授权的Render账户创建资源或生成真实网址。</w:t>
      </w:r>
    </w:p>
    <w:p>
      <w:pPr>
        <w:pStyle w:val="Heading2"/>
      </w:pPr>
      <w:r>
        <w:t>新复验与历史证据区分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</w:t>
            </w:r>
          </w:p>
        </w:tc>
        <w:tc>
          <w:tcPr>
            <w:tcW w:type="dxa" w:w="2880"/>
          </w:tcPr>
          <w:p>
            <w:r>
              <w:t>本轮结果</w:t>
            </w:r>
          </w:p>
        </w:tc>
        <w:tc>
          <w:tcPr>
            <w:tcW w:type="dxa" w:w="2880"/>
          </w:tcPr>
          <w:p>
            <w:r>
              <w:t>证据/限制</w:t>
            </w:r>
          </w:p>
        </w:tc>
      </w:tr>
      <w:tr>
        <w:tc>
          <w:tcPr>
            <w:tcW w:type="dxa" w:w="2880"/>
          </w:tcPr>
          <w:p>
            <w:r>
              <w:t>npm run check</w:t>
            </w:r>
          </w:p>
        </w:tc>
        <w:tc>
          <w:tcPr>
            <w:tcW w:type="dxa" w:w="2880"/>
          </w:tcPr>
          <w:p>
            <w:r>
              <w:t>成功退出，452 Vitest/22文件，18 Playwright</w:t>
            </w:r>
          </w:p>
        </w:tc>
        <w:tc>
          <w:tcPr>
            <w:tcW w:type="dxa" w:w="2880"/>
          </w:tcPr>
          <w:p>
            <w:r>
              <w:t>新check.log；含类型/格式/lint/构建</w:t>
            </w:r>
          </w:p>
        </w:tc>
      </w:tr>
      <w:tr>
        <w:tc>
          <w:tcPr>
            <w:tcW w:type="dxa" w:w="2880"/>
          </w:tcPr>
          <w:p>
            <w:r>
              <w:t>30人多轮</w:t>
            </w:r>
          </w:p>
        </w:tc>
        <w:tc>
          <w:tcPr>
            <w:tcW w:type="dxa" w:w="2880"/>
          </w:tcPr>
          <w:p>
            <w:r>
              <w:t>30独立账号/session，三路径各10，6波/180唯一turn/360消息</w:t>
            </w:r>
          </w:p>
        </w:tc>
        <w:tc>
          <w:tcPr>
            <w:tcW w:type="dxa" w:w="2880"/>
          </w:tcPr>
          <w:p>
            <w:r>
              <w:t>新concurrency-30.json，真实HTTP/PG，fixture200ms</w:t>
            </w:r>
          </w:p>
        </w:tc>
      </w:tr>
      <w:tr>
        <w:tc>
          <w:tcPr>
            <w:tcW w:type="dxa" w:w="2880"/>
          </w:tcPr>
          <w:p>
            <w:r>
              <w:t>成功/错误率</w:t>
            </w:r>
          </w:p>
        </w:tc>
        <w:tc>
          <w:tcPr>
            <w:tcW w:type="dxa" w:w="2880"/>
          </w:tcPr>
          <w:p>
            <w:r>
              <w:t>正常请求1081，100%/0%</w:t>
            </w:r>
          </w:p>
        </w:tc>
        <w:tc>
          <w:tcPr>
            <w:tcW w:type="dxa" w:w="2880"/>
          </w:tcPr>
          <w:p>
            <w:r>
              <w:t>预期越权探测单独统计</w:t>
            </w:r>
          </w:p>
        </w:tc>
      </w:tr>
      <w:tr>
        <w:tc>
          <w:tcPr>
            <w:tcW w:type="dxa" w:w="2880"/>
          </w:tcPr>
          <w:p>
            <w:r>
              <w:t>首发P50/P95/max</w:t>
            </w:r>
          </w:p>
        </w:tc>
        <w:tc>
          <w:tcPr>
            <w:tcW w:type="dxa" w:w="2880"/>
          </w:tcPr>
          <w:p>
            <w:r>
              <w:t>331.60/467.27/582.60ms</w:t>
            </w:r>
          </w:p>
        </w:tc>
        <w:tc>
          <w:tcPr>
            <w:tcW w:type="dxa" w:w="2880"/>
          </w:tcPr>
          <w:p>
            <w:r>
              <w:t>不是供应商或公网时延；回归与专项使用共享宿主</w:t>
            </w:r>
          </w:p>
        </w:tc>
      </w:tr>
      <w:tr>
        <w:tc>
          <w:tcPr>
            <w:tcW w:type="dxa" w:w="2880"/>
          </w:tcPr>
          <w:p>
            <w:r>
              <w:t>HTTP429/5xx/DB错误/客户端超时</w:t>
            </w:r>
          </w:p>
        </w:tc>
        <w:tc>
          <w:tcPr>
            <w:tcW w:type="dxa" w:w="2880"/>
          </w:tcPr>
          <w:p>
            <w:r>
              <w:t>全部0</w:t>
            </w:r>
          </w:p>
        </w:tc>
        <w:tc>
          <w:tcPr>
            <w:tcW w:type="dxa" w:w="2880"/>
          </w:tcPr>
          <w:p>
            <w:r>
              <w:t>本机工程范围</w:t>
            </w:r>
          </w:p>
        </w:tc>
      </w:tr>
      <w:tr>
        <w:tc>
          <w:tcPr>
            <w:tcW w:type="dxa" w:w="2880"/>
          </w:tcPr>
          <w:p>
            <w:r>
              <w:t>模型重试/兜底</w:t>
            </w:r>
          </w:p>
        </w:tc>
        <w:tc>
          <w:tcPr>
            <w:tcW w:type="dxa" w:w="2880"/>
          </w:tcPr>
          <w:p>
            <w:r>
              <w:t>2/1</w:t>
            </w:r>
          </w:p>
        </w:tc>
        <w:tc>
          <w:tcPr>
            <w:tcW w:type="dxa" w:w="2880"/>
          </w:tcPr>
          <w:p>
            <w:r>
              <w:t>人为故障注入，不是真实DeepSeek异常率</w:t>
            </w:r>
          </w:p>
        </w:tc>
      </w:tr>
      <w:tr>
        <w:tc>
          <w:tcPr>
            <w:tcW w:type="dxa" w:w="2880"/>
          </w:tcPr>
          <w:p>
            <w:r>
              <w:t>pool上限/峰值/队列峰值</w:t>
            </w:r>
          </w:p>
        </w:tc>
        <w:tc>
          <w:tcPr>
            <w:tcW w:type="dxa" w:w="2880"/>
          </w:tcPr>
          <w:p>
            <w:r>
              <w:t>10/10/49</w:t>
            </w:r>
          </w:p>
        </w:tc>
        <w:tc>
          <w:tcPr>
            <w:tcW w:type="dxa" w:w="2880"/>
          </w:tcPr>
          <w:p>
            <w:r>
              <w:t>仍有排队，线上资源和供应商额度需验证</w:t>
            </w:r>
          </w:p>
        </w:tc>
      </w:tr>
      <w:tr>
        <w:tc>
          <w:tcPr>
            <w:tcW w:type="dxa" w:w="2880"/>
          </w:tcPr>
          <w:p>
            <w:r>
              <w:t>状态/变量/评分/消息隔离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本人标记和不同数值评分；他人turn拒绝</w:t>
            </w:r>
          </w:p>
        </w:tc>
      </w:tr>
      <w:tr>
        <w:tc>
          <w:tcPr>
            <w:tcW w:type="dxa" w:w="2880"/>
          </w:tcPr>
          <w:p>
            <w:r>
              <w:t>幂等</w:t>
            </w:r>
          </w:p>
        </w:tc>
        <w:tc>
          <w:tcPr>
            <w:tcW w:type="dxa" w:w="2880"/>
          </w:tcPr>
          <w:p>
            <w:r>
              <w:t>并发重复同turn，完成回放不再生成</w:t>
            </w:r>
          </w:p>
        </w:tc>
        <w:tc>
          <w:tcPr>
            <w:tcW w:type="dxa" w:w="2880"/>
          </w:tcPr>
          <w:p>
            <w:r>
              <w:t>同request_id跨用户仍隔离</w:t>
            </w:r>
          </w:p>
        </w:tc>
      </w:tr>
      <w:tr>
        <w:tc>
          <w:tcPr>
            <w:tcW w:type="dxa" w:w="2880"/>
          </w:tcPr>
          <w:p>
            <w:r>
              <w:t>导出/数据完整</w:t>
            </w:r>
          </w:p>
        </w:tc>
        <w:tc>
          <w:tcPr>
            <w:tcW w:type="dxa" w:w="2880"/>
          </w:tcPr>
          <w:p>
            <w:r>
              <w:t>complete=true，8项完整性异常全0</w:t>
            </w:r>
          </w:p>
        </w:tc>
        <w:tc>
          <w:tcPr>
            <w:tcW w:type="dxa" w:w="2880"/>
          </w:tcPr>
          <w:p>
            <w:r>
              <w:t>核验所有本次会话记录</w:t>
            </w:r>
          </w:p>
        </w:tc>
      </w:tr>
      <w:tr>
        <w:tc>
          <w:tcPr>
            <w:tcW w:type="dxa" w:w="2880"/>
          </w:tcPr>
          <w:p>
            <w:r>
              <w:t>服务重建/重登保留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本轮fixture服务重建，同PG；不声称本轮Docker重启</w:t>
            </w:r>
          </w:p>
        </w:tc>
      </w:tr>
      <w:tr>
        <w:tc>
          <w:tcPr>
            <w:tcW w:type="dxa" w:w="2880"/>
          </w:tcPr>
          <w:p>
            <w:r>
              <w:t>Docker实际重启/浏览器领取</w:t>
            </w:r>
          </w:p>
        </w:tc>
        <w:tc>
          <w:tcPr>
            <w:tcW w:type="dxa" w:w="2880"/>
          </w:tcPr>
          <w:p>
            <w:r>
              <w:t>沿用上轮通过证据</w:t>
            </w:r>
          </w:p>
        </w:tc>
        <w:tc>
          <w:tcPr>
            <w:tcW w:type="dxa" w:w="2880"/>
          </w:tcPr>
          <w:p>
            <w:r>
              <w:t>step6-round29/docker-hosted-acceptance.json，本轮未重复</w:t>
            </w:r>
          </w:p>
        </w:tc>
      </w:tr>
      <w:tr>
        <w:tc>
          <w:tcPr>
            <w:tcW w:type="dxa" w:w="2880"/>
          </w:tcPr>
          <w:p>
            <w:r>
              <w:t>45人余量</w:t>
            </w:r>
          </w:p>
        </w:tc>
        <w:tc>
          <w:tcPr>
            <w:tcW w:type="dxa" w:w="2880"/>
          </w:tcPr>
          <w:p>
            <w:r>
              <w:t>全回归中的45人案例重跑通过</w:t>
            </w:r>
          </w:p>
        </w:tc>
        <w:tc>
          <w:tcPr>
            <w:tcW w:type="dxa" w:w="2880"/>
          </w:tcPr>
          <w:p>
            <w:r>
              <w:t>新check.log；独立详细指标沿用上轮concurrency-45.json</w:t>
            </w:r>
          </w:p>
        </w:tc>
      </w:tr>
      <w:tr>
        <w:tc>
          <w:tcPr>
            <w:tcW w:type="dxa" w:w="2880"/>
          </w:tcPr>
          <w:p>
            <w:r>
              <w:t>API失败/超时/刷新</w:t>
            </w:r>
          </w:p>
        </w:tc>
        <w:tc>
          <w:tcPr>
            <w:tcW w:type="dxa" w:w="2880"/>
          </w:tcPr>
          <w:p>
            <w:r>
              <w:t>现有浏览器用例本轮重跑通过</w:t>
            </w:r>
          </w:p>
        </w:tc>
        <w:tc>
          <w:tcPr>
            <w:tcW w:type="dxa" w:w="2880"/>
          </w:tcPr>
          <w:p>
            <w:r>
              <w:t>失败不推进、过期状态恢复、重复点击、重登历史、超时重试</w:t>
            </w:r>
          </w:p>
        </w:tc>
      </w:tr>
      <w:tr>
        <w:tc>
          <w:tcPr>
            <w:tcW w:type="dxa" w:w="2880"/>
          </w:tcPr>
          <w:p>
            <w:r>
              <w:t>Codex DeepSeek Secret</w:t>
            </w:r>
          </w:p>
        </w:tc>
        <w:tc>
          <w:tcPr>
            <w:tcW w:type="dxa" w:w="2880"/>
          </w:tcPr>
          <w:p>
            <w:r>
              <w:t>仅检查存在，true</w:t>
            </w:r>
          </w:p>
        </w:tc>
        <w:tc>
          <w:tcPr>
            <w:tcW w:type="dxa" w:w="2880"/>
          </w:tcPr>
          <w:p>
            <w:r>
              <w:t>未打印值、未调用；不是Render绑定证明</w:t>
            </w:r>
          </w:p>
        </w:tc>
      </w:tr>
      <w:tr>
        <w:tc>
          <w:tcPr>
            <w:tcW w:type="dxa" w:w="2880"/>
          </w:tcPr>
          <w:p>
            <w:r>
              <w:t>Render在线Secret/HTTPS/PG/外部设备</w:t>
            </w:r>
          </w:p>
        </w:tc>
        <w:tc>
          <w:tcPr>
            <w:tcW w:type="dxa" w:w="2880"/>
          </w:tcPr>
          <w:p>
            <w:r>
              <w:t>not_run</w:t>
            </w:r>
          </w:p>
        </w:tc>
        <w:tc>
          <w:tcPr>
            <w:tcW w:type="dxa" w:w="2880"/>
          </w:tcPr>
          <w:p>
            <w:r>
              <w:t>无URL/资源，不能冒充已验收</w:t>
            </w:r>
          </w:p>
        </w:tc>
      </w:tr>
      <w:tr>
        <w:tc>
          <w:tcPr>
            <w:tcW w:type="dxa" w:w="2880"/>
          </w:tcPr>
          <w:p>
            <w:r>
              <w:t>研究者自由体验与六维人评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脚本不能代替人类签署</w:t>
            </w:r>
          </w:p>
        </w:tc>
      </w:tr>
    </w:tbl>
    <w:p>
      <w:r>
        <w:t>6轮并发是部分路径多轮验证，不等于完整三条实验或人工评分。旧真实DeepSeek合成链路与其认知9次重试/8轮兜底仍需人工语言审核，不能用本轮fixture掩盖该风险。</w:t>
      </w:r>
    </w:p>
    <w:p>
      <w:pPr>
        <w:pStyle w:val="Heading2"/>
      </w:pPr>
      <w:r>
        <w:t>环境复核</w:t>
      </w:r>
    </w:p>
    <w:p>
      <w:r>
        <w:t>开发/本地排障保留原独立数据库；自动化测试自建独立PG、Mock和假Secret。Render Blueprint 使用平台自己的独立PG、Secret及isolated-staging保护标记；NODE_ENV=production仅为Node运行模式，不能解释为正式研究放行。正式环境未配置或批准，不能使用同一体验批次直接招募。详见 round30-online-acceptance-checklist.md。</w:t>
      </w:r>
    </w:p>
    <w:p>
      <w:r>
        <w:t>原Adapter仍可切换，DeepSeek服务器密钥应在Render Secret界面填入。当前Codex代理Secret存在，无法证明Render已绑定或账户额度可支撑30并发。初始Standard Web/Basic1GB数据库费用和区域以平台控制台为准，本轮未付款/购买。</w:t>
      </w:r>
    </w:p>
    <w:p>
      <w:pPr>
        <w:pStyle w:val="Heading2"/>
      </w:pPr>
      <w:r>
        <w:t>老师什么时候验证</w:t>
      </w:r>
    </w:p>
    <w:p>
      <w:r>
        <w:t>先取得稳定HTTPS网址；研究者本人跑完认知和情感并检查日常，确认完整导出，完成同批语言审核与必要整改，再做3–5设备测试及获批的30人真实模型并发验收。上述证据成立后，才发送老师体验链接。目前没有确定上线日期，不作具体时间承诺。正式招募仍需导师认可和正式研究条件。</w:t>
      </w:r>
    </w:p>
    <w:p>
      <w:r>
        <w:t>本轮额外提供 research-progress-brief.md/.docx，一段简短汇报即可复制给老师。真实并发预算沿用 round29-real-concurrency-plan.md：预计160正常生成、最多320外部HTTP尝试，必须先明确账户单价和批准金额；本轮外部调用为0。</w:t>
      </w:r>
    </w:p>
    <w:p>
      <w:pPr>
        <w:pStyle w:val="Heading2"/>
      </w:pPr>
      <w:r>
        <w:t>发布内容</w:t>
      </w:r>
    </w:p>
    <w:p>
      <w:r>
        <w:t>给GPT反馈、验收报告、线上操作清单和简短进度各一份Markdown/Word，原附件、新30人JSON指标/完整检查日志和门禁JSON。全项目ZIP保留原Render部署包、上一轮预算/验收和全部历史成果，排除密钥、私有运行目录及依赖缓存。README更新最新入口；其他程序文件保持基线一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第30次交付 · 线上验收推进／导师暂未放行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