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给GPT的第30次交付反馈：线上部署与研究验收推进</w:t>
      </w:r>
    </w:p>
    <w:p>
      <w:r>
        <w:t>2026-10-14。原附件《第28次反馈_线上部署与研究平台验收推进.docx》已归档到 docs/inputs/round30-online-platform-requirements.docx。仓库按连续交付编号30，保留1—28轮项目进度的简短汇报，不覆盖历史成果。</w:t>
      </w:r>
    </w:p>
    <w:p>
      <w:r>
        <w:t>本轮继续采用唯一首选Render，保留上一交付同域Web＋独立PostgreSQL Blueprint。没有重写实验逻辑或新增功能。核对托管启动保护、模型Secret位置、环境边界和现有失败/超时/刷新恢复测试，并重新执行自动化回归及30人专项。</w:t>
      </w:r>
    </w:p>
    <w:p>
      <w:r>
        <w:t>尚未上线：external_url=null。当前没有长期发布Site/Preview工具，没有Render授权、资源和可访问地址。源代码配置已完成，研究者还需登录Render并授权指定仓库、在Secret中填服务器密钥、确认控制台费用、点击部署。不能把Codex临时环境或本机端口当公网网址。</w:t>
      </w:r>
    </w:p>
    <w:p>
      <w:pPr>
        <w:pStyle w:val="Heading2"/>
      </w:pPr>
      <w:r>
        <w:t>附件落实情况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限制</w:t>
            </w:r>
          </w:p>
        </w:tc>
      </w:tr>
      <w:tr>
        <w:tc>
          <w:tcPr>
            <w:tcW w:type="dxa" w:w="2880"/>
          </w:tcPr>
          <w:p>
            <w:r>
              <w:t>低维护线上方案</w:t>
            </w:r>
          </w:p>
        </w:tc>
        <w:tc>
          <w:tcPr>
            <w:tcW w:type="dxa" w:w="2880"/>
          </w:tcPr>
          <w:p>
            <w:r>
              <w:t>Render已确定，操作指南已提供</w:t>
            </w:r>
          </w:p>
        </w:tc>
        <w:tc>
          <w:tcPr>
            <w:tcW w:type="dxa" w:w="2880"/>
          </w:tcPr>
          <w:p>
            <w:r>
              <w:t>无需研究者管理Linux；实际资源未创建</w:t>
            </w:r>
          </w:p>
        </w:tc>
      </w:tr>
      <w:tr>
        <w:tc>
          <w:tcPr>
            <w:tcW w:type="dxa" w:w="2880"/>
          </w:tcPr>
          <w:p>
            <w:r>
              <w:t>明确人工/自动步骤和费用</w:t>
            </w:r>
          </w:p>
        </w:tc>
        <w:tc>
          <w:tcPr>
            <w:tcW w:type="dxa" w:w="2880"/>
          </w:tcPr>
          <w:p>
            <w:r>
              <w:t>已补验收清单</w:t>
            </w:r>
          </w:p>
        </w:tc>
        <w:tc>
          <w:tcPr>
            <w:tcW w:type="dxa" w:w="2880"/>
          </w:tcPr>
          <w:p>
            <w:r>
              <w:t>平台账号/Secret/套餐批准由研究者做；报价未查询，未付费</w:t>
            </w:r>
          </w:p>
        </w:tc>
      </w:tr>
      <w:tr>
        <w:tc>
          <w:tcPr>
            <w:tcW w:type="dxa" w:w="2880"/>
          </w:tcPr>
          <w:p>
            <w:r>
              <w:t>staging Preview URL</w:t>
            </w:r>
          </w:p>
        </w:tc>
        <w:tc>
          <w:tcPr>
            <w:tcW w:type="dxa" w:w="2880"/>
          </w:tcPr>
          <w:p>
            <w:r>
              <w:t>未完成</w:t>
            </w:r>
          </w:p>
        </w:tc>
        <w:tc>
          <w:tcPr>
            <w:tcW w:type="dxa" w:w="2880"/>
          </w:tcPr>
          <w:p>
            <w:r>
              <w:t>Render授权/部署未执行，不能编造地址</w:t>
            </w:r>
          </w:p>
        </w:tc>
      </w:tr>
      <w:tr>
        <w:tc>
          <w:tcPr>
            <w:tcW w:type="dxa" w:w="2880"/>
          </w:tcPr>
          <w:p>
            <w:r>
              <w:t>线上Secret正确绑定</w:t>
            </w:r>
          </w:p>
        </w:tc>
        <w:tc>
          <w:tcPr>
            <w:tcW w:type="dxa" w:w="2880"/>
          </w:tcPr>
          <w:p>
            <w:r>
              <w:t>配置槽位存在，线上实际未验证</w:t>
            </w:r>
          </w:p>
        </w:tc>
        <w:tc>
          <w:tcPr>
            <w:tcW w:type="dxa" w:w="2880"/>
          </w:tcPr>
          <w:p>
            <w:r>
              <w:t>Codex运行中Secret存在，但不代表Render已配置</w:t>
            </w:r>
          </w:p>
        </w:tc>
      </w:tr>
      <w:tr>
        <w:tc>
          <w:tcPr>
            <w:tcW w:type="dxa" w:w="2880"/>
          </w:tcPr>
          <w:p>
            <w:r>
              <w:t>开发/测试/staging/formal区分</w:t>
            </w:r>
          </w:p>
        </w:tc>
        <w:tc>
          <w:tcPr>
            <w:tcW w:type="dxa" w:w="2880"/>
          </w:tcPr>
          <w:p>
            <w:r>
              <w:t>已明确边界</w:t>
            </w:r>
          </w:p>
        </w:tc>
        <w:tc>
          <w:tcPr>
            <w:tcW w:type="dxa" w:w="2880"/>
          </w:tcPr>
          <w:p>
            <w:r>
              <w:t>NODE_ENV不是实验正式放行标记；正式环境未部署</w:t>
            </w:r>
          </w:p>
        </w:tc>
      </w:tr>
      <w:tr>
        <w:tc>
          <w:tcPr>
            <w:tcW w:type="dxa" w:w="2880"/>
          </w:tcPr>
          <w:p>
            <w:r>
              <w:t>30人写入/状态/session隔离</w:t>
            </w:r>
          </w:p>
        </w:tc>
        <w:tc>
          <w:tcPr>
            <w:tcW w:type="dxa" w:w="2880"/>
          </w:tcPr>
          <w:p>
            <w:r>
              <w:t>本机工程专项复验</w:t>
            </w:r>
          </w:p>
        </w:tc>
        <w:tc>
          <w:tcPr>
            <w:tcW w:type="dxa" w:w="2880"/>
          </w:tcPr>
          <w:p>
            <w:r>
              <w:t>fixture结果不等于真实模型/公网验收</w:t>
            </w:r>
          </w:p>
        </w:tc>
      </w:tr>
      <w:tr>
        <w:tc>
          <w:tcPr>
            <w:tcW w:type="dxa" w:w="2880"/>
          </w:tcPr>
          <w:p>
            <w:r>
              <w:t>API失败/超时/刷新恢复</w:t>
            </w:r>
          </w:p>
        </w:tc>
        <w:tc>
          <w:tcPr>
            <w:tcW w:type="dxa" w:w="2880"/>
          </w:tcPr>
          <w:p>
            <w:r>
              <w:t>现有自动化回归复验</w:t>
            </w:r>
          </w:p>
        </w:tc>
        <w:tc>
          <w:tcPr>
            <w:tcW w:type="dxa" w:w="2880"/>
          </w:tcPr>
          <w:p>
            <w:r>
              <w:t>真实公网弱网/平台恢复仍待测</w:t>
            </w:r>
          </w:p>
        </w:tc>
      </w:tr>
      <w:tr>
        <w:tc>
          <w:tcPr>
            <w:tcW w:type="dxa" w:w="2880"/>
          </w:tcPr>
          <w:p>
            <w:r>
              <w:t>导师测试前置条件</w:t>
            </w:r>
          </w:p>
        </w:tc>
        <w:tc>
          <w:tcPr>
            <w:tcW w:type="dxa" w:w="2880"/>
          </w:tcPr>
          <w:p>
            <w:r>
              <w:t>已列清单，未放行</w:t>
            </w:r>
          </w:p>
        </w:tc>
        <w:tc>
          <w:tcPr>
            <w:tcW w:type="dxa" w:w="2880"/>
          </w:tcPr>
          <w:p>
            <w:r>
              <w:t>稳定URL、本人完整体验、导出、线上并发、人评需证据</w:t>
            </w:r>
          </w:p>
        </w:tc>
      </w:tr>
    </w:tbl>
    <w:p>
      <w:pPr>
        <w:pStyle w:val="Heading2"/>
      </w:pPr>
      <w:r>
        <w:t>简短进度汇报</w:t>
      </w:r>
    </w:p>
    <w:p>
      <w:r>
        <w:t>老师您好，目前平台的三条实验路径、DeepSeek对话、参与者登录、数据保存和完整导出已经完成，30人模拟并发测试也已通过。现在主要在推进线上部署和人工体验验收。等稳定网址上线，我先完整测试认知和情感流程，完成语言审核、数据导出及线上并发检查，通过后再请您体验和验证。</w:t>
      </w:r>
    </w:p>
    <w:p>
      <w:r>
        <w:t>不承诺未经验证的日期；目前还不宜正式邀请老师使用一个尚无稳定网址的系统。历史语言审核缺口仍在，不能用自动化测试通过数替代体验和语义审核。</w:t>
      </w:r>
    </w:p>
    <w:p>
      <w:pPr>
        <w:pStyle w:val="Heading2"/>
      </w:pPr>
      <w:r>
        <w:t>交付材料及下一步</w:t>
      </w:r>
    </w:p>
    <w:p>
      <w:r>
        <w:t>本反馈、thirtieth-round-delivery-report.md、round30-online-acceptance-checklist.md、research-progress-brief.md均提供Word；step6-round30保存本轮新证据与门禁，原附件保留。全项目GitHub ZIP同时包含上一轮Render部署文件、预算和历史验收。</w:t>
      </w:r>
    </w:p>
    <w:p>
      <w:r>
        <w:t>请GPT下一步直接指导研究者按Render部署指南完成授权、Secret、账单确认和部署，取得真实HTTPS URL；随后按本轮清单收集本人认知/情感完整体验及日常检查、同批语言审核、完整导出与外部设备/并发证据。不要再次扩展功能、重写状态机，或把本机30人模拟当线上AI稳定性已经通过。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第30次交付 · 线上验收推进／导师暂未放行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