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实际可用GPT模型与真实对比执行说明</w:t>
      </w:r>
    </w:p>
    <w:p>
      <w:r>
        <w:t>2026-10-14，仓库第32次交付。此前GPT与DeepSeek均已安全注入，但初始GPT_MODEL_NAME=gpt-4.1并非此账户可用模型。服务models接口HTTP200，生成403/model_not_found；不是本轮确认的密钥缺失、地区错误或自动审批拒绝。</w:t>
      </w:r>
    </w:p>
    <w:p>
      <w:pPr>
        <w:pStyle w:val="Heading2"/>
      </w:pPr>
      <w:r>
        <w:t>自动发现与验证</w:t>
      </w:r>
    </w:p>
    <w:p>
      <w:r>
        <w:rPr>
          <w:rFonts w:ascii="Consolas" w:hAnsi="Consolas"/>
          <w:sz w:val="18"/>
        </w:rPr>
        <w:t>node --use-env-proxy scripts/gpt-model-access-smoke.mjs /tmp/new-gpt-smoke</w:t>
      </w:r>
    </w:p>
    <w:p>
      <w:r>
        <w:t>工具读取现有GPT_API_BASE_URL不作修改，安全使用GPT_API_KEY查询/models，只从实际列表选可用GPT对话模型，排除embedding/audio/realtime/image等类型。此次实际列表只有gpt-4和text-embedding-ada-002，选择gpt-4，不再使用假设名称gpt-4.1。</w:t>
      </w:r>
    </w:p>
    <w:p>
      <w:r>
        <w:t>该工具只做一次max_tokens32、temperature0.2的中性中文问候，stream=true；不连数据库或状态机。首token是开始请求到收到首个非空SSE delta.content的首个可见文本块，不是供应商内部tokenizer时间。总响应时间到流结束；无法读取SSE时保留空值并报错，不能把完整非流式响应时间冒充首token。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本次smoke指标</w:t>
            </w:r>
          </w:p>
        </w:tc>
        <w:tc>
          <w:tcPr>
            <w:tcW w:type="dxa" w:w="4320"/>
          </w:tcPr>
          <w:p>
            <w:r>
              <w:t>实测</w:t>
            </w:r>
          </w:p>
        </w:tc>
      </w:tr>
      <w:tr>
        <w:tc>
          <w:tcPr>
            <w:tcW w:type="dxa" w:w="4320"/>
          </w:tcPr>
          <w:p>
            <w:r>
              <w:t>请求模型</w:t>
            </w:r>
          </w:p>
        </w:tc>
        <w:tc>
          <w:tcPr>
            <w:tcW w:type="dxa" w:w="4320"/>
          </w:tcPr>
          <w:p>
            <w:r>
              <w:t>gpt-4</w:t>
            </w:r>
          </w:p>
        </w:tc>
      </w:tr>
      <w:tr>
        <w:tc>
          <w:tcPr>
            <w:tcW w:type="dxa" w:w="4320"/>
          </w:tcPr>
          <w:p>
            <w:r>
              <w:t>返回模型</w:t>
            </w:r>
          </w:p>
        </w:tc>
        <w:tc>
          <w:tcPr>
            <w:tcW w:type="dxa" w:w="4320"/>
          </w:tcPr>
          <w:p>
            <w:r>
              <w:t>gpt-4-0613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首个可见文本块</w:t>
            </w:r>
          </w:p>
        </w:tc>
        <w:tc>
          <w:tcPr>
            <w:tcW w:type="dxa" w:w="4320"/>
          </w:tcPr>
          <w:p>
            <w:r>
              <w:t>2801.00ms</w:t>
            </w:r>
          </w:p>
        </w:tc>
      </w:tr>
      <w:tr>
        <w:tc>
          <w:tcPr>
            <w:tcW w:type="dxa" w:w="4320"/>
          </w:tcPr>
          <w:p>
            <w:r>
              <w:t>总响应</w:t>
            </w:r>
          </w:p>
        </w:tc>
        <w:tc>
          <w:tcPr>
            <w:tcW w:type="dxa" w:w="4320"/>
          </w:tcPr>
          <w:p>
            <w:r>
              <w:t>3090.69ms</w:t>
            </w:r>
          </w:p>
        </w:tc>
      </w:tr>
      <w:tr>
        <w:tc>
          <w:tcPr>
            <w:tcW w:type="dxa" w:w="4320"/>
          </w:tcPr>
          <w:p>
            <w:r>
              <w:t>GPT_API_BASE_URL</w:t>
            </w:r>
          </w:p>
        </w:tc>
        <w:tc>
          <w:tcPr>
            <w:tcW w:type="dxa" w:w="4320"/>
          </w:tcPr>
          <w:p>
            <w:r>
              <w:t>保持原值</w:t>
            </w:r>
          </w:p>
        </w:tc>
      </w:tr>
    </w:tbl>
    <w:p>
      <w:r>
        <w:t>本轮对比执行进程已自动采用GPT_MODEL_NAME=gpt-4。云环境草稿同时保存该建议值；配置工具不会自动覆盖平台已有绑定值，因此如需未来任务持久沿用，请在环境设置保存/发布并核对模型名。密钥与API地址不改，不将其内容写入材料。</w:t>
      </w:r>
    </w:p>
    <w:p>
      <w:pPr>
        <w:pStyle w:val="Heading2"/>
      </w:pPr>
      <w:r>
        <w:t>真实对比执行</w:t>
      </w:r>
    </w:p>
    <w:p>
      <w:r>
        <w:rPr>
          <w:rFonts w:ascii="Consolas" w:hAnsi="Consolas"/>
          <w:sz w:val="18"/>
        </w:rPr>
        <w:t>GPT_MODEL_NAME=gpt-4 node --use-env-proxy --import tsx scripts/real-model-comparison.mjs /tmp/new-real-comparison</w:t>
      </w:r>
    </w:p>
    <w:p>
      <w:r>
        <w:t>这些是工程执行命令，不要求参与者安装或操作。该有费用工具只在明确执行模型验收时手动使用，普通install/start/check不会运行。先32个独立配对案例，再在无访问/生成/状态失败时执行认知/情感各25轮连续语言诊断；预计64＋100正常生成，最大328实际HTTP尝试，不会开启30人真实并发。</w:t>
      </w:r>
    </w:p>
    <w:p>
      <w:r>
        <w:t>两模型共同temperature0.2、max_tokens512、timeout10000ms、max_attempts2。记录实际HTTP状态、请求/返回模型、usage、原候选、最终呈现及原Guard标签；usage缺失保留未提供，最终费用以供应商账单为准，不将“记录tokens0”当作零费用证明。共享参数不因某模型失败而暗改。</w:t>
      </w:r>
    </w:p>
    <w:p>
      <w:r>
        <w:t>400/401/403/404作为配置/访问错误停止后续外部请求；被控制器跳过的案例与生成兜底不算真实模型完成案例。失败运行的比较时延/流程错误率/状态违规数均为null，独立保存HTTP失败时间。429/5xx/网络错误按原Orchestrator预算记录，不扩大重试上限。</w:t>
      </w:r>
    </w:p>
    <w:p>
      <w:pPr>
        <w:pStyle w:val="Heading2"/>
      </w:pPr>
      <w:r>
        <w:t>研究边界与人评</w:t>
      </w:r>
    </w:p>
    <w:p>
      <w:r>
        <w:t>原32案例使用demoPolicy，保持双方完整初始Prompt相同；不是正式冻结研究Prompt验收。连续模式使用mentorPolicy、认知REFRAME_MEDIA_ALGORITHM/情感RELATIONSHIP当前阶段，25轮保持阶段不变；双方基础政策/状态/当前输入相同，各有自己的历史。完整Prompt在自然回复不同后可能不同，不能声称始终完全一致。Context Manager仍只投影有限近期历史；保存25轮不代表读取全历史或完成实验全路径。</w:t>
      </w:r>
    </w:p>
    <w:p>
      <w:r>
        <w:t>报告流程错误率是现有Validator跨尝试标签代理，状态违规数指生成前后快照变化。后端只接收自然文本，因此零快照变化不代表模型可以自主正确推进阶段。评分/观点确认/正式状态转移仍由原平台控制，不变更冻结参数。</w:t>
      </w:r>
    </w:p>
    <w:p>
      <w:r>
        <w:t>六维人工评分为中文清楚、逻辑、指代、不重复、实验一致性、非标准表达理解，1–5或null；真实样本按来源SHA生成独立审核表，记录审核人/时间/问题等级与意见。研究者未评分时保持null，不按时延或模型名称自动选“最佳模型”。人工完整路径体验、线上并发/持久化及导师放行另有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第32次交付 · 真实对比／人评与导师待验收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