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给GPT的第32次交付反馈：实际模型发现、真实双模型对比</w:t>
      </w:r>
    </w:p>
    <w:p>
      <w:r>
        <w:t>2026-10-14。用户已确认注入两家Secret并授权真实模型测试；遇到模型不匹配后，又明确授权读取账户模型列表并自动选择可访问模型，保持GPT_API_BASE_URL不变。</w:t>
      </w:r>
    </w:p>
    <w:p>
      <w:pPr>
        <w:pStyle w:val="Heading2"/>
      </w:pPr>
      <w:r>
        <w:t>配置问题已解决</w:t>
      </w:r>
    </w:p>
    <w:p>
      <w:r>
        <w:t>初始gpt-4.1请求403/model_not_found；同密钥读取/models成功，因此未要求重绑密钥。实际列表为gpt-4、text-embedding-ada-002。自动选gpt-4，返回gpt-4-0613，stream smoke HTTP200，首个可见文本块2801.00ms，总响应3090.69ms。首token指请求开始后首个非空SSE delta.content，不是服务内部tokenizer时间。</w:t>
      </w:r>
    </w:p>
    <w:p>
      <w:r>
        <w:t>后续真实对比执行进程已使用gpt-4，原API地址和模型服务接口不变。云环境草稿保存gpt-4建议值，但不会直接覆盖已有平台绑定；后续任务要保存/发布并核对，或先用模型发现工具选择实际可用模型。</w:t>
      </w:r>
    </w:p>
    <w:p>
      <w:pPr>
        <w:pStyle w:val="Heading2"/>
      </w:pPr>
      <w:r>
        <w:t>对比范围和材料</w:t>
      </w:r>
    </w:p>
    <w:p>
      <w:r>
        <w:t>原32同条件配对案例，双方完整初始Prompt相同、AB/BA交替；使用原demoPolicy，属于适配器/编排诊断而非正式研究Prompt验收。追加25轮当前阶段连续诊断，每模型认知/情感各25轮，采用冻结mentorPolicy，各自保留自己输出历史；基础政策/状态/输入相同，完整Prompt允许因历史不同而变化。它不推进阶段、不延长正式情感实验轮数，不等于完整路径体验。</w:t>
      </w:r>
    </w:p>
    <w:p>
      <w:r>
        <w:t>新实际结果、HTTP状态/请求与返回模型/usage、原候选和最终呈现均在step6-round32。初始访问失败另放initial-access-failure，失败后未发请求的控制器兜底条目不进入模型质量统计。六维人评另生成真实样本审核模板，不复用fixture评分，评分和签署保持null。</w:t>
      </w:r>
    </w:p>
    <w:p>
      <w:pPr>
        <w:pStyle w:val="Heading2"/>
      </w:pPr>
      <w:r>
        <w:t>已知配对结果</w:t>
      </w:r>
    </w:p>
    <w:p>
      <w:r>
        <w:t>32案例中GPT流程标签错误率6.25%、兜底3；DeepSeek3.13%、兜底2，两个模型最终生成失败0、生成前后状态快照违规0。流程标签来自现有Validator跨尝试的代理，不是人类语义错误率；HTTP200也不等于语言审核通过。32案例包含压力/边界输入，不作为真实参与者普遍错误率。</w:t>
      </w:r>
    </w:p>
    <w:p>
      <w:r>
        <w:t>真实对比共164条案例、191次请求。GPT86次HTTP200；DeepSeek105次，其中104次200、1次502。连续诊断GPT50轮无重试/兜底，DeepSeek50轮有16重试/6兜底及1轮生成异常标记，status=completed_with_errors，保留错误不重跑洗掉。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范围/模型</w:t>
            </w:r>
          </w:p>
        </w:tc>
        <w:tc>
          <w:tcPr>
            <w:tcW w:type="dxa" w:w="1728"/>
          </w:tcPr>
          <w:p>
            <w:r>
              <w:t>P50/P95/max ms</w:t>
            </w:r>
          </w:p>
        </w:tc>
        <w:tc>
          <w:tcPr>
            <w:tcW w:type="dxa" w:w="1728"/>
          </w:tcPr>
          <w:p>
            <w:r>
              <w:t>流程标签错误率</w:t>
            </w:r>
          </w:p>
        </w:tc>
        <w:tc>
          <w:tcPr>
            <w:tcW w:type="dxa" w:w="1728"/>
          </w:tcPr>
          <w:p>
            <w:r>
              <w:t>状态违规</w:t>
            </w:r>
          </w:p>
        </w:tc>
        <w:tc>
          <w:tcPr>
            <w:tcW w:type="dxa" w:w="1728"/>
          </w:tcPr>
          <w:p>
            <w:r>
              <w:t>人工分数</w:t>
            </w:r>
          </w:p>
        </w:tc>
      </w:tr>
      <w:tr>
        <w:tc>
          <w:tcPr>
            <w:tcW w:type="dxa" w:w="1728"/>
          </w:tcPr>
          <w:p>
            <w:r>
              <w:t>32配对/GPT-4</w:t>
            </w:r>
          </w:p>
        </w:tc>
        <w:tc>
          <w:tcPr>
            <w:tcW w:type="dxa" w:w="1728"/>
          </w:tcPr>
          <w:p>
            <w:r>
              <w:t>3932.30/6559.22/13955.22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32配对/DeepSeek Flash</w:t>
            </w:r>
          </w:p>
        </w:tc>
        <w:tc>
          <w:tcPr>
            <w:tcW w:type="dxa" w:w="1728"/>
          </w:tcPr>
          <w:p>
            <w:r>
              <w:t>3406.96/9149.12/9472.64</w:t>
            </w:r>
          </w:p>
        </w:tc>
        <w:tc>
          <w:tcPr>
            <w:tcW w:type="dxa" w:w="1728"/>
          </w:tcPr>
          <w:p>
            <w:r>
              <w:t>3.13%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25轮×2路径/GPT-4</w:t>
            </w:r>
          </w:p>
        </w:tc>
        <w:tc>
          <w:tcPr>
            <w:tcW w:type="dxa" w:w="1728"/>
          </w:tcPr>
          <w:p>
            <w:r>
              <w:t>4543.84/8197.75/9474.04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25轮×2路径/DeepSeek Flash</w:t>
            </w:r>
          </w:p>
        </w:tc>
        <w:tc>
          <w:tcPr>
            <w:tcW w:type="dxa" w:w="1728"/>
          </w:tcPr>
          <w:p>
            <w:r>
              <w:t>3933.27/9237.89/9801.39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r>
        <w:t>空回复/观点问题不全属于流程标签，所以0%不是无质量问题。延迟包含重试与兜底，单次合成样本不能推断普遍排名。API usage记录GPT输入69097/输出12305token，DeepSeek输入57768/输出37912，502无usage，货币账单未核对。</w:t>
      </w:r>
    </w:p>
    <w:p>
      <w:r>
        <w:t>普通完整回归459 Vitest＋18浏览器通过。完整的校验原因、样本与token统计见本轮验收报告与机器JSON。仍未给自然度、指代或长对话质量作人工排名，不能因模型名称或部分时延判定最佳供应商。</w:t>
      </w:r>
    </w:p>
    <w:p>
      <w:pPr>
        <w:pStyle w:val="Heading2"/>
      </w:pPr>
      <w:r>
        <w:t>变更与门禁</w:t>
      </w:r>
    </w:p>
    <w:p>
      <w:r>
        <w:t>只增加独立真实执行/模型发现/证据归一化工具、针对性离线测试和文档；experiment-core、Orchestrator、Validator、Model Adapter、业务服务、Prompt、mentor-test-v1、数据库和部署架构均不变。</w:t>
      </w:r>
    </w:p>
    <w:p>
      <w:r>
        <w:t>Render仍为唯一首选，平台授权/资源/公网URL未取得。本轮是单次顺序模型诊断，不是30人真实并发；既有30/45fixture工程证据保留。真实人工完整路径体验、同批六维审核/必要整改、外部设备、线上并发和持久化证据仍待补。导师与正式门禁不因模型HTTP成功自动放行。</w:t>
      </w:r>
    </w:p>
    <w:p>
      <w:r>
        <w:t>请GPT下一步指导研究者审阅本轮实际回复和兜底原因，完成六维人评，并继续Render授权/Secret/套餐确认及部署，取得稳定网址后做本人完整流程体验。不要扩大词库/改Validator或状态机来追求较低对比错误率；只针对审核确认的问题提出后续整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第32次交付 · 真实对比／人评与导师待验收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