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第23次交付报告与文档验收成果</w:t>
      </w:r>
    </w:p>
    <w:p>
      <w:r>
        <w:t>日期：2026-10-13（UTC）。本次对应用户附件“第22次反馈_平台进入实验验收阶段优化建议”，为避免覆盖历史成果，使用仓库第23次交付编号。</w:t>
      </w:r>
    </w:p>
    <w:p>
      <w:pPr>
        <w:pStyle w:val="Heading2"/>
      </w:pPr>
      <w:r>
        <w:t>本次实际完成</w:t>
      </w:r>
    </w:p>
    <w:p>
      <w:r>
        <w:t>只读核对当前状态机、Prompt、管理员诊断、导出限制和参与者评分实现；整理七项需求映射与六项导师测试门禁；归档输入原件、反馈正文及 Word、交付报告及 Word、结构化核查证据。README 更新到本次交付。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成果</w:t>
            </w:r>
          </w:p>
        </w:tc>
        <w:tc>
          <w:tcPr>
            <w:tcW w:type="dxa" w:w="4320"/>
          </w:tcPr>
          <w:p>
            <w:r>
              <w:t>位置</w:t>
            </w:r>
          </w:p>
        </w:tc>
      </w:tr>
      <w:tr>
        <w:tc>
          <w:tcPr>
            <w:tcW w:type="dxa" w:w="4320"/>
          </w:tcPr>
          <w:p>
            <w:r>
              <w:t>给 GPT 的完整反馈</w:t>
            </w:r>
          </w:p>
        </w:tc>
        <w:tc>
          <w:tcPr>
            <w:tcW w:type="dxa" w:w="4320"/>
          </w:tcPr>
          <w:p>
            <w:r>
              <w:t>Markdown（twenty-third-round-feedback.md） / Word（twenty-third-round-feedback.docx）</w:t>
            </w:r>
          </w:p>
        </w:tc>
      </w:tr>
      <w:tr>
        <w:tc>
          <w:tcPr>
            <w:tcW w:type="dxa" w:w="4320"/>
          </w:tcPr>
          <w:p>
            <w:r>
              <w:t>本次报告</w:t>
            </w:r>
          </w:p>
        </w:tc>
        <w:tc>
          <w:tcPr>
            <w:tcW w:type="dxa" w:w="4320"/>
          </w:tcPr>
          <w:p>
            <w:r>
              <w:t>Markdown（twenty-third-round-delivery-report.md） / Word（twenty-third-round-delivery-report.docx）</w:t>
            </w:r>
          </w:p>
        </w:tc>
      </w:tr>
      <w:tr>
        <w:tc>
          <w:tcPr>
            <w:tcW w:type="dxa" w:w="4320"/>
          </w:tcPr>
          <w:p>
            <w:r>
              <w:t>原始输入</w:t>
            </w:r>
          </w:p>
        </w:tc>
        <w:tc>
          <w:tcPr>
            <w:tcW w:type="dxa" w:w="4320"/>
          </w:tcPr>
          <w:p>
            <w:r>
              <w:t>附件原件（inputs/round23-experiment-acceptance-requirements.docx）</w:t>
            </w:r>
          </w:p>
        </w:tc>
      </w:tr>
      <w:tr>
        <w:tc>
          <w:tcPr>
            <w:tcW w:type="dxa" w:w="4320"/>
          </w:tcPr>
          <w:p>
            <w:r>
              <w:t>门禁清单</w:t>
            </w:r>
          </w:p>
        </w:tc>
        <w:tc>
          <w:tcPr>
            <w:tcW w:type="dxa" w:w="4320"/>
          </w:tcPr>
          <w:p>
            <w:r>
              <w:t>导师测试清单（mentor-test-readiness-checklist.md）</w:t>
            </w:r>
          </w:p>
        </w:tc>
      </w:tr>
      <w:tr>
        <w:tc>
          <w:tcPr>
            <w:tcW w:type="dxa" w:w="4320"/>
          </w:tcPr>
          <w:p>
            <w:r>
              <w:t>需求与门禁数据</w:t>
            </w:r>
          </w:p>
        </w:tc>
        <w:tc>
          <w:tcPr>
            <w:tcW w:type="dxa" w:w="4320"/>
          </w:tcPr>
          <w:p>
            <w:r>
              <w:t>需求映射（acceptance/step6-round23/requirements-map.json） / 门禁（acceptance/step6-round23/mentor-test-gates.json）</w:t>
            </w:r>
          </w:p>
        </w:tc>
      </w:tr>
      <w:tr>
        <w:tc>
          <w:tcPr>
            <w:tcW w:type="dxa" w:w="4320"/>
          </w:tcPr>
          <w:p>
            <w:r>
              <w:t>核查及验证证据</w:t>
            </w:r>
          </w:p>
        </w:tc>
        <w:tc>
          <w:tcPr>
            <w:tcW w:type="dxa" w:w="4320"/>
          </w:tcPr>
          <w:p>
            <w:r>
              <w:t>摘要（acceptance/step6-round23/summary.json） / 源码只读核查（acceptance/step6-round23/inspection-evidence.json） / 交付验证（acceptance/step6-round23/delivery-validation.json）</w:t>
            </w:r>
          </w:p>
        </w:tc>
      </w:tr>
      <w:tr>
        <w:tc>
          <w:tcPr>
            <w:tcW w:type="dxa" w:w="4320"/>
          </w:tcPr>
          <w:p>
            <w:r>
              <w:t>已授权的历史接入成功</w:t>
            </w:r>
          </w:p>
        </w:tc>
        <w:tc>
          <w:tcPr>
            <w:tcW w:type="dxa" w:w="4320"/>
          </w:tcPr>
          <w:p>
            <w:r>
              <w:t>原始记录副本（acceptance/step6-round23/prior-authorized-deepseek-smoke.json） / 来源说明（acceptance/step6-round23/smoke-provenance.json）</w:t>
            </w:r>
          </w:p>
        </w:tc>
      </w:tr>
    </w:tbl>
    <w:p>
      <w:pPr>
        <w:pStyle w:val="Heading2"/>
      </w:pPr>
      <w:r>
        <w:t>验证结果与范围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</w:t>
            </w:r>
          </w:p>
        </w:tc>
        <w:tc>
          <w:tcPr>
            <w:tcW w:type="dxa" w:w="2880"/>
          </w:tcPr>
          <w:p>
            <w:r>
              <w:t>本次状态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文档格式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npm run format:check，结果见 delivery-validation.json</w:t>
            </w:r>
          </w:p>
        </w:tc>
      </w:tr>
      <w:tr>
        <w:tc>
          <w:tcPr>
            <w:tcW w:type="dxa" w:w="2880"/>
          </w:tcPr>
          <w:p>
            <w:r>
              <w:t>Word 和 JSON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Word ZIP 完整性、表格及正文、JSON 解析、文档链接、附件逐字节一致</w:t>
            </w:r>
          </w:p>
        </w:tc>
      </w:tr>
      <w:tr>
        <w:tc>
          <w:tcPr>
            <w:tcW w:type="dxa" w:w="2880"/>
          </w:tcPr>
          <w:p>
            <w:r>
              <w:t>修改范围及秘密保护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README/docs 外无改动；附件、Word 与文本不包含已知密钥格式</w:t>
            </w:r>
          </w:p>
        </w:tc>
      </w:tr>
      <w:tr>
        <w:tc>
          <w:tcPr>
            <w:tcW w:type="dxa" w:w="2880"/>
          </w:tcPr>
          <w:p>
            <w:r>
              <w:t>历史工程测试</w:t>
            </w:r>
          </w:p>
        </w:tc>
        <w:tc>
          <w:tcPr>
            <w:tcW w:type="dxa" w:w="2880"/>
          </w:tcPr>
          <w:p>
            <w:r>
              <w:t>本次未重跑</w:t>
            </w:r>
          </w:p>
        </w:tc>
        <w:tc>
          <w:tcPr>
            <w:tcW w:type="dxa" w:w="2880"/>
          </w:tcPr>
          <w:p>
            <w:r>
              <w:t>第21次 435 Vitest + 15 Playwright；历史证据随完整项目保留</w:t>
            </w:r>
          </w:p>
        </w:tc>
      </w:tr>
      <w:tr>
        <w:tc>
          <w:tcPr>
            <w:tcW w:type="dxa" w:w="2880"/>
          </w:tcPr>
          <w:p>
            <w:r>
              <w:t>真模型调用</w:t>
            </w:r>
          </w:p>
        </w:tc>
        <w:tc>
          <w:tcPr>
            <w:tcW w:type="dxa" w:w="2880"/>
          </w:tcPr>
          <w:p>
            <w:r>
              <w:t>本次 0 次</w:t>
            </w:r>
          </w:p>
        </w:tc>
        <w:tc>
          <w:tcPr>
            <w:tcW w:type="dxa" w:w="2880"/>
          </w:tcPr>
          <w:p>
            <w:r>
              <w:t>保留此前一次成功 smoke：HTTP 200，首 token 2260.68ms，总响应 2277.17ms</w:t>
            </w:r>
          </w:p>
        </w:tc>
      </w:tr>
      <w:tr>
        <w:tc>
          <w:tcPr>
            <w:tcW w:type="dxa" w:w="2880"/>
          </w:tcPr>
          <w:p>
            <w:r>
              <w:t>新优化功能</w:t>
            </w:r>
          </w:p>
        </w:tc>
        <w:tc>
          <w:tcPr>
            <w:tcW w:type="dxa" w:w="2880"/>
          </w:tcPr>
          <w:p>
            <w:r>
              <w:t>未实施</w:t>
            </w:r>
          </w:p>
        </w:tc>
        <w:tc>
          <w:tcPr>
            <w:tcW w:type="dxa" w:w="2880"/>
          </w:tcPr>
          <w:p>
            <w:r>
              <w:t>上一轮用户要求确认范围，本次仅授权反馈交付</w:t>
            </w:r>
          </w:p>
        </w:tc>
      </w:tr>
      <w:tr>
        <w:tc>
          <w:tcPr>
            <w:tcW w:type="dxa" w:w="2880"/>
          </w:tcPr>
          <w:p>
            <w:r>
              <w:t>新截图、账号、导师试用</w:t>
            </w:r>
          </w:p>
        </w:tc>
        <w:tc>
          <w:tcPr>
            <w:tcW w:type="dxa" w:w="2880"/>
          </w:tcPr>
          <w:p>
            <w:r>
              <w:t>未执行</w:t>
            </w:r>
          </w:p>
        </w:tc>
        <w:tc>
          <w:tcPr>
            <w:tcW w:type="dxa" w:w="2880"/>
          </w:tcPr>
          <w:p>
            <w:r>
              <w:t>不把历史图片当成本次新截图，不创建账号</w:t>
            </w:r>
          </w:p>
        </w:tc>
      </w:tr>
      <w:tr>
        <w:tc>
          <w:tcPr>
            <w:tcW w:type="dxa" w:w="2880"/>
          </w:tcPr>
          <w:p>
            <w:r>
              <w:t>人工语言质量评分</w:t>
            </w:r>
          </w:p>
        </w:tc>
        <w:tc>
          <w:tcPr>
            <w:tcW w:type="dxa" w:w="2880"/>
          </w:tcPr>
          <w:p>
            <w:r>
              <w:t>未执行</w:t>
            </w:r>
          </w:p>
        </w:tc>
        <w:tc>
          <w:tcPr>
            <w:tcW w:type="dxa" w:w="2880"/>
          </w:tcPr>
          <w:p>
            <w:r>
              <w:t>无分数；不能用模型自评或工程测试替代</w:t>
            </w:r>
          </w:p>
        </w:tc>
      </w:tr>
    </w:tbl>
    <w:p>
      <w:r>
        <w:t>文档格式和归档验证通过只代表本次文件可审阅，不代表应用功能或导师门禁通过。此前单次 smoke 的临时流式测量不表示生产流式 UI 已实现。本次未读取或打印环境密钥，归档不含 .env、依赖目录、构建目录或真实参与者数据。</w:t>
      </w:r>
    </w:p>
    <w:p>
      <w:pPr>
        <w:pStyle w:val="Heading2"/>
      </w:pPr>
      <w:r>
        <w:t>当前缺口与后续范围</w:t>
      </w:r>
    </w:p>
    <w:p>
      <w:r>
        <w:t>现有三条路径与附件“四条路径”不一致；最少互动轮次与正式研究材料待批准；评分卡、完整调试视图和完整导出保障仍需实施。管理员现有导出每表限 1000 且 complete=false，不能声称已达完整导出标准。六项导师门禁均未正式放行。</w:t>
      </w:r>
    </w:p>
    <w:p>
      <w:r>
        <w:t>后续拟运行类型检查、lint、格式、Vitest、构建、Playwright，并对授权改动补充评分/鉴权/导出完整性/场景与语义压力验证；本次没有执行这些计划测试。</w:t>
      </w:r>
    </w:p>
    <w:p>
      <w:pPr>
        <w:pStyle w:val="Heading2"/>
      </w:pPr>
      <w:r>
        <w:t>GitHub 与整个项目 ZIP</w:t>
      </w:r>
    </w:p>
    <w:p>
      <w:r>
        <w:t>本次文件随 README/docs 提交到原仓库 main。下载使用本次发布提交的 GitHub archive ZIP，包含整个受版本控制项目、给 GPT 的反馈 Word/正文、本轮报告/证据、输入原件及历史成果。无需在仓库内嵌套另一个项目 ZIP。</w:t>
      </w:r>
    </w:p>
    <w:p>
      <w:r>
        <w:t>操作：打开最终回复的“整个项目 ZIP”链接；下载后解压，先打开 docs/twenty-third-round-feedback.docx，再打开 docs/twenty-third-round-delivery-report.docx。只阅读可使用反馈 Markdown 的 GitHub 页面。GitHub 归档不携带未提交或忽略的本地文件。</w:t>
      </w:r>
    </w:p>
    <w:p>
      <w:r>
        <w:t>若页面打不开，在已登录且有仓库权限的 GitHub 页面选择对应提交，再通过 Code → Download ZIP 下载；最终回复的固定提交链接可避免后续版本改变。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第23次交付 · 修改范围待确认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