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第26次交付：研究者体验部署包与同会话人工审核</w:t>
      </w:r>
    </w:p>
    <w:p>
      <w:r>
        <w:t>原附件标题为“第24次反馈”，原件保留；仓库延续第25次交付后使用第26次编号。交付日期：2026-10-13（UTC+8）。附件中的建议作为本轮需求来源，实际完成情况按代码和验收证据报告。</w:t>
      </w:r>
    </w:p>
    <w:p>
      <w:pPr>
        <w:pStyle w:val="Heading2"/>
      </w:pPr>
      <w:r>
        <w:t>给 GPT 的反馈</w:t>
      </w:r>
    </w:p>
    <w:p>
      <w:r>
        <w:t>本轮用户选择暂不部署公网，先交付部署包及最短步骤。已有页面完成独立启动验证：认知、情感、日常三条固定分配路径均由真实 Chromium 页面登录、对话、明确提交并结束，管理员实际下载完整 JSON。不是 API 脚本替代浏览器，也不是研究者非脚本体验。所有真实输入均为合成身份的固定脚本；人工自由体验与六维语言评分仍未开展。</w:t>
      </w:r>
    </w:p>
    <w:p>
      <w:r>
        <w:t>实验核心、AI Orchestrator、Validator、Model Adapter、Prompt、冻结配置、数据库迁移和前端应用源文件完全保持不变。新增部署／维护工具复用已有服务，入口提供静态构建页面、原 API、管理员只读限制；新账号分配只在服务器维护工具执行。没有扩展实验功能，没有修改 WorkBuddy。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已交付</w:t>
            </w:r>
          </w:p>
        </w:tc>
        <w:tc>
          <w:tcPr>
            <w:tcW w:type="dxa" w:w="4320"/>
          </w:tcPr>
          <w:p>
            <w:r>
              <w:t>证据入口</w:t>
            </w:r>
          </w:p>
        </w:tc>
      </w:tr>
      <w:tr>
        <w:tc>
          <w:tcPr>
            <w:tcW w:type="dxa" w:w="4320"/>
          </w:tcPr>
          <w:p>
            <w:r>
              <w:t>可启动的独立 staging 包、固定三账号、保留旧会话的新轮次</w:t>
            </w:r>
          </w:p>
        </w:tc>
        <w:tc>
          <w:tcPr>
            <w:tcW w:type="dxa" w:w="4320"/>
          </w:tcPr>
          <w:p>
            <w:r>
              <w:t>scripts/researcher-preview.mjs</w:t>
            </w:r>
          </w:p>
        </w:tc>
      </w:tr>
      <w:tr>
        <w:tc>
          <w:tcPr>
            <w:tcW w:type="dxa" w:w="4320"/>
          </w:tcPr>
          <w:p>
            <w:r>
              <w:t>Linux 持续启动与 HTTPS 代理模板</w:t>
            </w:r>
          </w:p>
        </w:tc>
        <w:tc>
          <w:tcPr>
            <w:tcW w:type="dxa" w:w="4320"/>
          </w:tcPr>
          <w:p>
            <w:r>
              <w:t>deploy/researcher-preview.service、deploy/Caddyfile</w:t>
            </w:r>
          </w:p>
        </w:tc>
      </w:tr>
      <w:tr>
        <w:tc>
          <w:tcPr>
            <w:tcW w:type="dxa" w:w="4320"/>
          </w:tcPr>
          <w:p>
            <w:r>
              <w:t>最短操作步骤及登录／新轮次／导出指引</w:t>
            </w:r>
          </w:p>
        </w:tc>
        <w:tc>
          <w:tcPr>
            <w:tcW w:type="dxa" w:w="4320"/>
          </w:tcPr>
          <w:p>
            <w:r>
              <w:t>docs/researcher-preview-guide.md</w:t>
            </w:r>
          </w:p>
        </w:tc>
      </w:tr>
      <w:tr>
        <w:tc>
          <w:tcPr>
            <w:tcW w:type="dxa" w:w="4320"/>
          </w:tcPr>
          <w:p>
            <w:r>
              <w:t>同一导出生成体验统计和六维待审核项</w:t>
            </w:r>
          </w:p>
        </w:tc>
        <w:tc>
          <w:tcPr>
            <w:tcW w:type="dxa" w:w="4320"/>
          </w:tcPr>
          <w:p>
            <w:r>
              <w:t>scripts/researcher-review-package.mjs</w:t>
            </w:r>
          </w:p>
        </w:tc>
      </w:tr>
      <w:tr>
        <w:tc>
          <w:tcPr>
            <w:tcW w:type="dxa" w:w="4320"/>
          </w:tcPr>
          <w:p>
            <w:r>
              <w:t>人工体验与 A/B/C 问题分级模板</w:t>
            </w:r>
          </w:p>
        </w:tc>
        <w:tc>
          <w:tcPr>
            <w:tcW w:type="dxa" w:w="4320"/>
          </w:tcPr>
          <w:p>
            <w:r>
              <w:t>docs/researcher-human-review-template.md</w:t>
            </w:r>
          </w:p>
        </w:tc>
      </w:tr>
      <w:tr>
        <w:tc>
          <w:tcPr>
            <w:tcW w:type="dxa" w:w="4320"/>
          </w:tcPr>
          <w:p>
            <w:r>
              <w:t>本轮真实浏览器、全量导出、截图、HTTP 记录</w:t>
            </w:r>
          </w:p>
        </w:tc>
        <w:tc>
          <w:tcPr>
            <w:tcW w:type="dxa" w:w="4320"/>
          </w:tcPr>
          <w:p>
            <w:r>
              <w:t>docs/acceptance/step6-round26/</w:t>
            </w:r>
          </w:p>
        </w:tc>
      </w:tr>
    </w:tbl>
    <w:p>
      <w:pPr>
        <w:pStyle w:val="Heading2"/>
      </w:pPr>
      <w:r>
        <w:t>真实验收观察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路径</w:t>
            </w:r>
          </w:p>
        </w:tc>
        <w:tc>
          <w:tcPr>
            <w:tcW w:type="dxa" w:w="1728"/>
          </w:tcPr>
          <w:p>
            <w:r>
              <w:t>轮数</w:t>
            </w:r>
          </w:p>
        </w:tc>
        <w:tc>
          <w:tcPr>
            <w:tcW w:type="dxa" w:w="1728"/>
          </w:tcPr>
          <w:p>
            <w:r>
              <w:t>重试</w:t>
            </w:r>
          </w:p>
        </w:tc>
        <w:tc>
          <w:tcPr>
            <w:tcW w:type="dxa" w:w="1728"/>
          </w:tcPr>
          <w:p>
            <w:r>
              <w:t>兜底轮数</w:t>
            </w:r>
          </w:p>
        </w:tc>
        <w:tc>
          <w:tcPr>
            <w:tcW w:type="dxa" w:w="1728"/>
          </w:tcPr>
          <w:p>
            <w:r>
              <w:t>回复来源</w:t>
            </w:r>
          </w:p>
        </w:tc>
      </w:tr>
      <w:tr>
        <w:tc>
          <w:tcPr>
            <w:tcW w:type="dxa" w:w="1728"/>
          </w:tcPr>
          <w:p>
            <w:r>
              <w:t>cognitive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{'model': 10, 'template': 2, 'fallback': 8}</w:t>
            </w:r>
          </w:p>
        </w:tc>
      </w:tr>
      <w:tr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{'model': 2}</w:t>
            </w:r>
          </w:p>
        </w:tc>
      </w:tr>
      <w:tr>
        <w:tc>
          <w:tcPr>
            <w:tcW w:type="dxa" w:w="1728"/>
          </w:tcPr>
          <w:p>
            <w:r>
              <w:t>emotional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{'template': 2, 'model': 12}</w:t>
            </w:r>
          </w:p>
        </w:tc>
      </w:tr>
    </w:tbl>
    <w:p>
      <w:r>
        <w:t>实际 DeepSeek 返回模型名 deepseek-flash；41 次已收到 HTTP 响应全部 200，HTTP 完整响应 P50 4105.59ms、P95 4841.2ms、最大 5260.69ms。这不是首 token 时间。另有每轮浏览器往返耗时与后端生成耗时，定义不同，不混用。后端源为 model 的认知回复 P95 约 9057ms，重试影响等待。自然语言模型调用次数不是聊天轮数；模板轮不调用模型。</w:t>
      </w:r>
    </w:p>
    <w:p>
      <w:r>
        <w:t>认知路径 8 轮兜底占 20 轮的 40%，是本轮重要待人工审查风险，不能因流程完成就认定语言质量通过。情感和日常没有重试／兜底。数据完整性检查八项均为零异常，确认观点与双评分卡、法定迁移、结束状态、完整导出通过工程检查；这些结论不替代逐条语言忠实度判断。</w:t>
      </w:r>
    </w:p>
    <w:p>
      <w:r>
        <w:t>真实浏览器执行时代码提交：2609a11be867ce4a3d70fae57ef2c85cbba231fd。最终部署／审核工具提交：89d63c00f464dd9ae7d00e8101c72c4fb6cfbe79。后续仅增加管理员写入拦截、ZIP 无 .git 的启动兼容及离线审核／部署材料；重启后进行了不调用模型的入口与持久化验证，未重复付费模型调用。</w:t>
      </w:r>
    </w:p>
    <w:p>
      <w:pPr>
        <w:pStyle w:val="Heading2"/>
      </w:pPr>
      <w:r>
        <w:t>当前放行结论</w:t>
      </w:r>
    </w:p>
    <w:p>
      <w:r>
        <w:t>部署包工程验收通过；没有外部 URL，因为用户明确选择先交付部署包且未准备服务器／域名。三个人工 R001 账号保持 open、零聊天轮和零消息。每个新部署实例生成独立 UUID 与密码，不能使用仓库合成样例 UUID 作为服务器凭据。所有有效密码、admin_token、模型 Secret、数据库凭据均不在 GitHub ZIP。</w:t>
      </w:r>
    </w:p>
    <w:p>
      <w:r>
        <w:t>researcher_external_access_ready=false；human_nonscripted_experience_completed=false；human_language_review=pending；mentor_test_ready=false；formal_ready=false。人工审核不阻止先部署给研究者体验，但必须阻止未经审核直接开放导师测试。</w:t>
      </w:r>
    </w:p>
    <w:p>
      <w:r>
        <w:t>下一步：按照部署指南启动独立服务器并获得真实 HTTPS 地址，研究者各自由体验三条路径，下载同一会话全量记录进行六维审核，针对全部 A／主要 B 项整改并复验，再由研究者签署导师放行。本轮不为未来人工评分填入假数值，不再询问已明确的部署选择。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第26次交付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