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第22次交付验收报告：只读核查与待确认范围</w:t>
      </w:r>
    </w:p>
    <w:p>
      <w:r>
        <w:t>日期：2026-10-12（北京时间）。本报告只验收文档交付，不宣布第21次优化建议已实现。原始附件、反馈/范围方案（twenty-second-round-feedback.md）和本轮验收记录都进入完整项目ZIP。</w:t>
      </w:r>
    </w:p>
    <w:p>
      <w:pPr>
        <w:pStyle w:val="Heading2"/>
      </w:pPr>
      <w:r>
        <w:t>已验证真实模型基础连接</w:t>
      </w:r>
    </w:p>
    <w:p>
      <w:r>
        <w:t>以下来自前一个用户独立授权的实际smoke，本轮只归档已存在记录，未再次调用模型：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检查项</w:t>
            </w:r>
          </w:p>
        </w:tc>
        <w:tc>
          <w:tcPr>
            <w:tcW w:type="dxa" w:w="4320"/>
          </w:tcPr>
          <w:p>
            <w:r>
              <w:t>实际结果</w:t>
            </w:r>
          </w:p>
        </w:tc>
      </w:tr>
      <w:tr>
        <w:tc>
          <w:tcPr>
            <w:tcW w:type="dxa" w:w="4320"/>
          </w:tcPr>
          <w:p>
            <w:r>
              <w:t>环境Secret存在</w:t>
            </w:r>
          </w:p>
        </w:tc>
        <w:tc>
          <w:tcPr>
            <w:tcW w:type="dxa" w:w="4320"/>
          </w:tcPr>
          <w:p>
            <w:r>
              <w:t>true；不保存秘密值</w:t>
            </w:r>
          </w:p>
        </w:tc>
      </w:tr>
      <w:tr>
        <w:tc>
          <w:tcPr>
            <w:tcW w:type="dxa" w:w="4320"/>
          </w:tcPr>
          <w:p>
            <w:r>
              <w:t>请求/响应模型</w:t>
            </w:r>
          </w:p>
        </w:tc>
        <w:tc>
          <w:tcPr>
            <w:tcW w:type="dxa" w:w="4320"/>
          </w:tcPr>
          <w:p>
            <w:r>
              <w:t>deepseek-flash / deepseek-flash</w:t>
            </w:r>
          </w:p>
        </w:tc>
      </w:tr>
      <w:tr>
        <w:tc>
          <w:tcPr>
            <w:tcW w:type="dxa" w:w="4320"/>
          </w:tcPr>
          <w:p>
            <w:r>
              <w:t>HTTP状态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首可见token时间</w:t>
            </w:r>
          </w:p>
        </w:tc>
        <w:tc>
          <w:tcPr>
            <w:tcW w:type="dxa" w:w="4320"/>
          </w:tcPr>
          <w:p>
            <w:r>
              <w:t>2260.68ms</w:t>
            </w:r>
          </w:p>
        </w:tc>
      </w:tr>
      <w:tr>
        <w:tc>
          <w:tcPr>
            <w:tcW w:type="dxa" w:w="4320"/>
          </w:tcPr>
          <w:p>
            <w:r>
              <w:t>总响应时间</w:t>
            </w:r>
          </w:p>
        </w:tc>
        <w:tc>
          <w:tcPr>
            <w:tcW w:type="dxa" w:w="4320"/>
          </w:tcPr>
          <w:p>
            <w:r>
              <w:t>2277.17ms</w:t>
            </w:r>
          </w:p>
        </w:tc>
      </w:tr>
      <w:tr>
        <w:tc>
          <w:tcPr>
            <w:tcW w:type="dxa" w:w="4320"/>
          </w:tcPr>
          <w:p>
            <w:r>
              <w:t>Adapter整次操作</w:t>
            </w:r>
          </w:p>
        </w:tc>
        <w:tc>
          <w:tcPr>
            <w:tcW w:type="dxa" w:w="4320"/>
          </w:tcPr>
          <w:p>
            <w:r>
              <w:t>2282.99ms</w:t>
            </w:r>
          </w:p>
        </w:tc>
      </w:tr>
      <w:tr>
        <w:tc>
          <w:tcPr>
            <w:tcW w:type="dxa" w:w="4320"/>
          </w:tcPr>
          <w:p>
            <w:r>
              <w:t>请求/重试</w:t>
            </w:r>
          </w:p>
        </w:tc>
        <w:tc>
          <w:tcPr>
            <w:tcW w:type="dxa" w:w="4320"/>
          </w:tcPr>
          <w:p>
            <w:r>
              <w:t>1 / 0</w:t>
            </w:r>
          </w:p>
        </w:tc>
      </w:tr>
      <w:tr>
        <w:tc>
          <w:tcPr>
            <w:tcW w:type="dxa" w:w="4320"/>
          </w:tcPr>
          <w:p>
            <w:r>
              <w:t>模型文本</w:t>
            </w:r>
          </w:p>
        </w:tc>
        <w:tc>
          <w:tcPr>
            <w:tcW w:type="dxa" w:w="4320"/>
          </w:tcPr>
          <w:p>
            <w:r>
              <w:t>非空；此包只保留测量，不公开回复正文</w:t>
            </w:r>
          </w:p>
        </w:tc>
      </w:tr>
    </w:tbl>
    <w:p>
      <w:r>
        <w:t>原始测量JSON（acceptance/step6-round22/confirmed-deepseek-smoke.json）、来源与校验摘要（acceptance/step6-round22/smoke-provenance.json）。首token为HTTP请求发起至首个非空可见delta.content，不计reasoning；总响应至流完成。临时流式测量未修改平台代码，不证明平台已实现正式streaming，也不证明供应商底层V4.1路由或研究语义。</w:t>
      </w:r>
    </w:p>
    <w:p>
      <w:r>
        <w:t>历史第21次密钥未注入/not_run材料保留，代表当时环境。它不覆盖后来这次HTTP200实测；历史记录不改造成成功。</w:t>
      </w:r>
    </w:p>
    <w:p>
      <w:pPr>
        <w:pStyle w:val="Heading2"/>
      </w:pPr>
      <w:r>
        <w:t>本次核查验收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内容</w:t>
            </w:r>
          </w:p>
        </w:tc>
        <w:tc>
          <w:tcPr>
            <w:tcW w:type="dxa" w:w="4320"/>
          </w:tcPr>
          <w:p>
            <w:r>
              <w:t>当前结论</w:t>
            </w:r>
          </w:p>
        </w:tc>
      </w:tr>
      <w:tr>
        <w:tc>
          <w:tcPr>
            <w:tcW w:type="dxa" w:w="4320"/>
          </w:tcPr>
          <w:p>
            <w:r>
              <w:t>状态机结构</w:t>
            </w:r>
          </w:p>
        </w:tc>
        <w:tc>
          <w:tcPr>
            <w:tcW w:type="dxa" w:w="4320"/>
          </w:tcPr>
          <w:p>
            <w:r>
              <w:t>已查源码，当前3条路径；原文4条未说明</w:t>
            </w:r>
          </w:p>
        </w:tc>
      </w:tr>
      <w:tr>
        <w:tc>
          <w:tcPr>
            <w:tcW w:type="dxa" w:w="4320"/>
          </w:tcPr>
          <w:p>
            <w:r>
              <w:t>Prompt索引/版本</w:t>
            </w:r>
          </w:p>
        </w:tc>
        <w:tc>
          <w:tcPr>
            <w:tcW w:type="dxa" w:w="4320"/>
          </w:tcPr>
          <w:p>
            <w:r>
              <w:t>已查源码/持久化逻辑；演示policy与正式材料区分</w:t>
            </w:r>
          </w:p>
        </w:tc>
      </w:tr>
      <w:tr>
        <w:tc>
          <w:tcPr>
            <w:tcW w:type="dxa" w:w="4320"/>
          </w:tcPr>
          <w:p>
            <w:r>
              <w:t>修改范围</w:t>
            </w:r>
          </w:p>
        </w:tc>
        <w:tc>
          <w:tcPr>
            <w:tcW w:type="dxa" w:w="4320"/>
          </w:tcPr>
          <w:p>
            <w:r>
              <w:t>已列提案，approval=pending，实施未开始</w:t>
            </w:r>
          </w:p>
        </w:tc>
      </w:tr>
      <w:tr>
        <w:tc>
          <w:tcPr>
            <w:tcW w:type="dxa" w:w="4320"/>
          </w:tcPr>
          <w:p>
            <w:r>
              <w:t>测试计划</w:t>
            </w:r>
          </w:p>
        </w:tc>
        <w:tc>
          <w:tcPr>
            <w:tcW w:type="dxa" w:w="4320"/>
          </w:tcPr>
          <w:p>
            <w:r>
              <w:t>已列出，planned_tests_run=false</w:t>
            </w:r>
          </w:p>
        </w:tc>
      </w:tr>
      <w:tr>
        <w:tc>
          <w:tcPr>
            <w:tcW w:type="dxa" w:w="4320"/>
          </w:tcPr>
          <w:p>
            <w:r>
              <w:t>项目行为</w:t>
            </w:r>
          </w:p>
        </w:tc>
        <w:tc>
          <w:tcPr>
            <w:tcW w:type="dxa" w:w="4320"/>
          </w:tcPr>
          <w:p>
            <w:r>
              <w:t>packages/、apps/、database/及依赖配置未改</w:t>
            </w:r>
          </w:p>
        </w:tc>
      </w:tr>
      <w:tr>
        <w:tc>
          <w:tcPr>
            <w:tcW w:type="dxa" w:w="4320"/>
          </w:tcPr>
          <w:p>
            <w:r>
              <w:t>本轮网络调用</w:t>
            </w:r>
          </w:p>
        </w:tc>
        <w:tc>
          <w:tcPr>
            <w:tcW w:type="dxa" w:w="4320"/>
          </w:tcPr>
          <w:p>
            <w:r>
              <w:t>0，未重新smoke或采样</w:t>
            </w:r>
          </w:p>
        </w:tc>
      </w:tr>
      <w:tr>
        <w:tc>
          <w:tcPr>
            <w:tcW w:type="dxa" w:w="4320"/>
          </w:tcPr>
          <w:p>
            <w:r>
              <w:t>文档验证</w:t>
            </w:r>
          </w:p>
        </w:tc>
        <w:tc>
          <w:tcPr>
            <w:tcW w:type="dxa" w:w="4320"/>
          </w:tcPr>
          <w:p>
            <w:r>
              <w:t>格式、相对链接、JSON、Word、原始附件和无密钥检查</w:t>
            </w:r>
          </w:p>
        </w:tc>
      </w:tr>
      <w:tr>
        <w:tc>
          <w:tcPr>
            <w:tcW w:type="dxa" w:w="4320"/>
          </w:tcPr>
          <w:p>
            <w:r>
              <w:t>全量工程回归</w:t>
            </w:r>
          </w:p>
        </w:tc>
        <w:tc>
          <w:tcPr>
            <w:tcW w:type="dxa" w:w="4320"/>
          </w:tcPr>
          <w:p>
            <w:r>
              <w:t>本轮not_run；历史435 Vitest+15 Playwright=450另有报告</w:t>
            </w:r>
          </w:p>
        </w:tc>
      </w:tr>
      <w:tr>
        <w:tc>
          <w:tcPr>
            <w:tcW w:type="dxa" w:w="4320"/>
          </w:tcPr>
          <w:p>
            <w:r>
              <w:t>正式Prompt/完整真实路径/人工评分</w:t>
            </w:r>
          </w:p>
        </w:tc>
        <w:tc>
          <w:tcPr>
            <w:tcW w:type="dxa" w:w="4320"/>
          </w:tcPr>
          <w:p>
            <w:r>
              <w:t>未确认/未执行，仍不放行Pilot</w:t>
            </w:r>
          </w:p>
        </w:tc>
      </w:tr>
    </w:tbl>
    <w:p>
      <w:r>
        <w:t>本轮验收成果是“核查与交付完成”，不是代码优化验收。修改理由、文件、影响和批准后重跑项见反馈第三/四节。后续程序改动需要用户确认范围；新增路径/量表/开场/轮数不能由模型代替研究者决定。</w:t>
      </w:r>
    </w:p>
    <w:p>
      <w:pPr>
        <w:pStyle w:val="Heading2"/>
      </w:pPr>
      <w:r>
        <w:t>ZIP内容与交付结论</w:t>
      </w:r>
    </w:p>
    <w:p>
      <w:r>
        <w:t>ZIP包含全部当前源码及历史文档、本轮原始Word、发给GPT的反馈Word、交付报告Word、实际smoke归档、只读核查摘要和文档完整性结果。README最新入口更新，历史工程/模型结果原样保留。</w:t>
      </w:r>
    </w:p>
    <w:p>
      <w:r>
        <w:t>review_delivery_complete=true；implementation_approved=false；optimization_implemented=false；pilot_ready=false；formal_ready=false。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第22次交付 · 修改范围待确认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