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40"/>
        </w:rPr>
        <w:t>第41次反馈：每轮内部验收与人工测试闭环</w:t>
      </w:r>
    </w:p>
    <w:p>
      <w:pPr>
        <w:jc w:val="center"/>
      </w:pPr>
      <w:r>
        <w:rPr>
          <w:i/>
          <w:color w:val="646464"/>
          <w:sz w:val="18"/>
        </w:rPr>
        <w:t>基于 AI-Agent-Research-Platform-round40-delivery.zip</w:t>
      </w:r>
    </w:p>
    <w:p>
      <w:pPr>
        <w:pStyle w:val="Heading1"/>
      </w:pPr>
      <w:r>
        <w:t>一、当前基线与判断</w:t>
      </w:r>
    </w:p>
    <w:p>
      <w:r>
        <w:t>附件内部将当前交付标记为第40次反馈，实施提交为 c21f9036e13eb507e01cdaf14c22319735c8cbfc，线上截图基线为 ea9867dfb9dd64778bdbaccf2cb3855ff27d9441。为避免覆盖历史记录，本轮按连续编号第41次反馈。</w:t>
      </w:r>
    </w:p>
    <w:p>
      <w:pPr>
        <w:pStyle w:val="ListBullet"/>
      </w:pPr>
      <w:r>
        <w:t>第40次本地工程检查报告：495项 Vitest 测试和25项浏览器测试通过；另有2次真实 DeepSeek 格式 smoke test。</w:t>
      </w:r>
    </w:p>
    <w:p>
      <w:pPr>
        <w:pStyle w:val="ListBullet"/>
      </w:pPr>
      <w:r>
        <w:t>这些结果不等于真实模型完整路径验收，也不等于 Render 线上验收。第40次代码尚未部署到 Render。</w:t>
      </w:r>
    </w:p>
    <w:p>
      <w:pPr>
        <w:pStyle w:val="ListBullet"/>
      </w:pPr>
      <w:r>
        <w:t>仍未完成：线上旧账号复验、线上/异地备份恢复、真实模型完整路径与人工语义审核、原始四组头像素材核对，以及实际跨14个自然日验证。</w:t>
      </w:r>
    </w:p>
    <w:p>
      <w:pPr>
        <w:pStyle w:val="ListBullet"/>
      </w:pPr>
      <w:r>
        <w:t>当前状态仍为 mentor_test_ready=false、formal_ready=false；不得对外宣称已具备正式招募或正式数据采集条件。</w:t>
      </w:r>
    </w:p>
    <w:p>
      <w:pPr>
        <w:pStyle w:val="Heading1"/>
      </w:pPr>
      <w:r>
        <w:t>二、本轮目标</w:t>
      </w:r>
    </w:p>
    <w:p>
      <w:r>
        <w:t>建立可重复执行的迭代验收流程：每次修改都先完成代码审查和自动化回归，再进行针对性人工内部测试；只有通过安全检查并经研究者明确同意后，才更新 Render。每次交付必须明确列出研究者需要手动做什么、点击哪里、如何判断通过，以及失败时如何停止。</w:t>
      </w:r>
    </w:p>
    <w:p>
      <w:pPr>
        <w:pStyle w:val="Heading1"/>
      </w:pPr>
      <w:r>
        <w:t>三、每轮必须执行的工程验收</w:t>
      </w:r>
    </w:p>
    <w:p>
      <w:pPr>
        <w:pStyle w:val="ListNumber"/>
      </w:pPr>
      <w:r>
        <w:rPr>
          <w:b/>
        </w:rPr>
        <w:t>基线与变更范围：</w:t>
      </w:r>
      <w:r>
        <w:t>记录基线提交、实现提交、修改文件、数据库迁移、环境变量变化。说明是否触及研究材料、状态机、Validator、账号/分组、数据库表。未授权时不得改动这些保护范围。</w:t>
      </w:r>
    </w:p>
    <w:p>
      <w:pPr>
        <w:pStyle w:val="ListNumber"/>
      </w:pPr>
      <w:r>
        <w:rPr>
          <w:b/>
        </w:rPr>
        <w:t>自动化检查：</w:t>
      </w:r>
      <w:r>
        <w:t>执行仓库规定的完整 npm run check，记录命令、退出码、Vitest 文件数/测试数、Playwright 浏览器测试数、构建和格式检查结果。不能只挑通过的测试，也不能放宽既有断言来换取通过。</w:t>
      </w:r>
    </w:p>
    <w:p>
      <w:pPr>
        <w:pStyle w:val="ListNumber"/>
      </w:pPr>
      <w:r>
        <w:rPr>
          <w:b/>
        </w:rPr>
        <w:t>路径回归：</w:t>
      </w:r>
      <w:r>
        <w:t>认知、情感、日常三条路径至少各执行一次自动化回归；变更路径需有专项测试。认知路径确认卡和评分卡必须本人提交；普通消息不能被确认卡阻塞；状态不能跳跃、重复或提前结束。</w:t>
      </w:r>
    </w:p>
    <w:p>
      <w:pPr>
        <w:pStyle w:val="ListNumber"/>
      </w:pPr>
      <w:r>
        <w:rPr>
          <w:b/>
        </w:rPr>
        <w:t>数据库和旧账号：</w:t>
      </w:r>
      <w:r>
        <w:t>涉及数据库、登录、历史、部署或迁移时，先证明迁移是增量兼容的；检查不会删除/覆盖旧账号、实验编号、分组、消息、评分和状态。没有可验证备份时不得执行破坏性操作。</w:t>
      </w:r>
    </w:p>
    <w:p>
      <w:pPr>
        <w:pStyle w:val="ListNumber"/>
      </w:pPr>
      <w:r>
        <w:rPr>
          <w:b/>
        </w:rPr>
        <w:t>真实模型证据：</w:t>
      </w:r>
      <w:r>
        <w:t>Mock 测试与真实模型测试分开报告。每次提示词、模型适配器、气泡/长度规则发生变化时，至少对受影响路径执行真实模型格式检查，并保存脱敏输入、原始响应、实际模型名、HTTP状态、耗时、重试次数和违规结果。不得把两次格式 smoke test描述为完整路径验收。</w:t>
      </w:r>
    </w:p>
    <w:p>
      <w:pPr>
        <w:pStyle w:val="ListNumber"/>
      </w:pPr>
      <w:r>
        <w:rPr>
          <w:b/>
        </w:rPr>
        <w:t>人工验收清单：</w:t>
      </w:r>
      <w:r>
        <w:t>每轮交付提供一份短清单，写清需研究者实际操作的页面、账号类型、测试步骤、预期结果、证据截图位置及停止条件。若本轮没有线上部署，必须明确标注人工线上测试尚未执行。</w:t>
      </w:r>
    </w:p>
    <w:p>
      <w:pPr>
        <w:pStyle w:val="ListNumber"/>
      </w:pPr>
      <w:r>
        <w:rPr>
          <w:b/>
        </w:rPr>
        <w:t>交付记录：</w:t>
      </w:r>
      <w:r>
        <w:t>更新 docs/inputs/round41-requirements.md、对应验收报告、机器可读 delivery-status.json 和变更清单；保留失败日志，不覆盖历史验收证据。</w:t>
      </w:r>
    </w:p>
    <w:p>
      <w:pPr>
        <w:pStyle w:val="Heading1"/>
      </w:pPr>
      <w:r>
        <w:t>四、每轮人工内部测试：最小必测项</w:t>
      </w:r>
    </w:p>
    <w:p>
      <w:r>
        <w:t>每次迭代均需要内部测试，但不必每次都重做整套生产验收。至少执行下列基线 smoke test；本轮改动涉及哪条路径，就对该路径追加完整的人工路径测试。测试只使用研究者创建的测试账号和合成内容，不使用正式被试数据。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t>测试项</w:t>
            </w:r>
          </w:p>
        </w:tc>
        <w:tc>
          <w:tcPr>
            <w:tcW w:type="dxa" w:w="2484"/>
            <w:vAlign w:val="center"/>
          </w:tcPr>
          <w:p>
            <w:r>
              <w:t>研究者操作</w:t>
            </w:r>
          </w:p>
        </w:tc>
        <w:tc>
          <w:tcPr>
            <w:tcW w:type="dxa" w:w="2484"/>
            <w:vAlign w:val="center"/>
          </w:tcPr>
          <w:p>
            <w:r>
              <w:t>通过标准</w:t>
            </w:r>
          </w:p>
        </w:tc>
        <w:tc>
          <w:tcPr>
            <w:tcW w:type="dxa" w:w="2484"/>
            <w:vAlign w:val="center"/>
          </w:tcPr>
          <w:p>
            <w:r>
              <w:t>失败时处理</w:t>
            </w:r>
          </w:p>
        </w:tc>
      </w:tr>
      <w:tr>
        <w:tc>
          <w:tcPr>
            <w:tcW w:type="dxa" w:w="2484"/>
            <w:vAlign w:val="center"/>
          </w:tcPr>
          <w:p>
            <w:r>
              <w:t>登录与开场</w:t>
            </w:r>
          </w:p>
        </w:tc>
        <w:tc>
          <w:tcPr>
            <w:tcW w:type="dxa" w:w="2484"/>
            <w:vAlign w:val="center"/>
          </w:tcPr>
          <w:p>
            <w:r>
              <w:t>用现有测试账号登录；刷新并重新登录一次。</w:t>
            </w:r>
          </w:p>
        </w:tc>
        <w:tc>
          <w:tcPr>
            <w:tcW w:type="dxa" w:w="2484"/>
            <w:vAlign w:val="center"/>
          </w:tcPr>
          <w:p>
            <w:r>
              <w:t>账号可用；实验路径和分组不变；旧会话不被重置；开场白不重复。</w:t>
            </w:r>
          </w:p>
        </w:tc>
        <w:tc>
          <w:tcPr>
            <w:tcW w:type="dxa" w:w="2484"/>
            <w:vAlign w:val="center"/>
          </w:tcPr>
          <w:p>
            <w:r>
              <w:t>停止后续测试，记录账号类型和截图；不要新建/重置数据库。</w:t>
            </w:r>
          </w:p>
        </w:tc>
      </w:tr>
      <w:tr>
        <w:tc>
          <w:tcPr>
            <w:tcW w:type="dxa" w:w="2484"/>
            <w:vAlign w:val="center"/>
          </w:tcPr>
          <w:p>
            <w:r>
              <w:t>日常路径</w:t>
            </w:r>
          </w:p>
        </w:tc>
        <w:tc>
          <w:tcPr>
            <w:tcW w:type="dxa" w:w="2484"/>
            <w:vAlign w:val="center"/>
          </w:tcPr>
          <w:p>
            <w:r>
              <w:t>发3条短消息，观察AI身份与每轮回复。</w:t>
            </w:r>
          </w:p>
        </w:tc>
        <w:tc>
          <w:tcPr>
            <w:tcW w:type="dxa" w:w="2484"/>
            <w:vAlign w:val="center"/>
          </w:tcPr>
          <w:p>
            <w:r>
              <w:t>每轮1个气泡、≤30个汉字；头像/姓名/身份固定；语气像普通伙伴，不长篇心理疏导。</w:t>
            </w:r>
          </w:p>
        </w:tc>
        <w:tc>
          <w:tcPr>
            <w:tcW w:type="dxa" w:w="2484"/>
            <w:vAlign w:val="center"/>
          </w:tcPr>
          <w:p>
            <w:r>
              <w:t>保存问题消息、AI回复、账号实验条件和截图。</w:t>
            </w:r>
          </w:p>
        </w:tc>
      </w:tr>
      <w:tr>
        <w:tc>
          <w:tcPr>
            <w:tcW w:type="dxa" w:w="2484"/>
            <w:vAlign w:val="center"/>
          </w:tcPr>
          <w:p>
            <w:r>
              <w:t>情感路径</w:t>
            </w:r>
          </w:p>
        </w:tc>
        <w:tc>
          <w:tcPr>
            <w:tcW w:type="dxa" w:w="2484"/>
            <w:vAlign w:val="center"/>
          </w:tcPr>
          <w:p>
            <w:r>
              <w:t>按提示创作故事至少5轮，包含一次不明确的人物指代。</w:t>
            </w:r>
          </w:p>
        </w:tc>
        <w:tc>
          <w:tcPr>
            <w:tcW w:type="dxa" w:w="2484"/>
            <w:vAlign w:val="center"/>
          </w:tcPr>
          <w:p>
            <w:r>
              <w:t>两条开场消息时序正确；普通消息直接发送；每轮≤3泡、每泡&lt;30汉字；说话人清晰；不清楚时只问一个澄清问题。</w:t>
            </w:r>
          </w:p>
        </w:tc>
        <w:tc>
          <w:tcPr>
            <w:tcW w:type="dxa" w:w="2484"/>
            <w:vAlign w:val="center"/>
          </w:tcPr>
          <w:p>
            <w:r>
              <w:t>不要点击不存在的确认按钮或重复发送；记录在哪一轮偏离。</w:t>
            </w:r>
          </w:p>
        </w:tc>
      </w:tr>
      <w:tr>
        <w:tc>
          <w:tcPr>
            <w:tcW w:type="dxa" w:w="2484"/>
            <w:vAlign w:val="center"/>
          </w:tcPr>
          <w:p>
            <w:r>
              <w:t>认知路径</w:t>
            </w:r>
          </w:p>
        </w:tc>
        <w:tc>
          <w:tcPr>
            <w:tcW w:type="dxa" w:w="2484"/>
            <w:vAlign w:val="center"/>
          </w:tcPr>
          <w:p>
            <w:r>
              <w:t>完成观点确认、初次评分，并推进至少一个重构阶段。</w:t>
            </w:r>
          </w:p>
        </w:tc>
        <w:tc>
          <w:tcPr>
            <w:tcW w:type="dxa" w:w="2484"/>
            <w:vAlign w:val="center"/>
          </w:tcPr>
          <w:p>
            <w:r>
              <w:t>观点卡和评分卡仅在对应阶段出现；普通消息无需确认；评分由参与者本人提交；状态不跳跃。</w:t>
            </w:r>
          </w:p>
        </w:tc>
        <w:tc>
          <w:tcPr>
            <w:tcW w:type="dxa" w:w="2484"/>
            <w:vAlign w:val="center"/>
          </w:tcPr>
          <w:p>
            <w:r>
              <w:t>不要用手工操作绕过卡片；保留状态截图和具体步骤。</w:t>
            </w:r>
          </w:p>
        </w:tc>
      </w:tr>
      <w:tr>
        <w:tc>
          <w:tcPr>
            <w:tcW w:type="dxa" w:w="2484"/>
            <w:vAlign w:val="center"/>
          </w:tcPr>
          <w:p>
            <w:r>
              <w:t>管理员记录</w:t>
            </w:r>
          </w:p>
        </w:tc>
        <w:tc>
          <w:tcPr>
            <w:tcW w:type="dxa" w:w="2484"/>
            <w:vAlign w:val="center"/>
          </w:tcPr>
          <w:p>
            <w:r>
              <w:t>用管理员权限查询刚才的测试会话。</w:t>
            </w:r>
          </w:p>
        </w:tc>
        <w:tc>
          <w:tcPr>
            <w:tcW w:type="dxa" w:w="2484"/>
            <w:vAlign w:val="center"/>
          </w:tcPr>
          <w:p>
            <w:r>
              <w:t>AI/用户全文、时间戳、消息顺序、路径/分组及评分事件可查；普通参与者无法查看他人记录。</w:t>
            </w:r>
          </w:p>
        </w:tc>
        <w:tc>
          <w:tcPr>
            <w:tcW w:type="dxa" w:w="2484"/>
            <w:vAlign w:val="center"/>
          </w:tcPr>
          <w:p>
            <w:r>
              <w:t>不把管理员密钥发到聊天或截图；报告缺失字段。</w:t>
            </w:r>
          </w:p>
        </w:tc>
      </w:tr>
      <w:tr>
        <w:tc>
          <w:tcPr>
            <w:tcW w:type="dxa" w:w="2484"/>
            <w:vAlign w:val="center"/>
          </w:tcPr>
          <w:p>
            <w:r>
              <w:t>历史持久化</w:t>
            </w:r>
          </w:p>
        </w:tc>
        <w:tc>
          <w:tcPr>
            <w:tcW w:type="dxa" w:w="2484"/>
            <w:vAlign w:val="center"/>
          </w:tcPr>
          <w:p>
            <w:r>
              <w:t>发送消息后刷新、退出登录再登录。</w:t>
            </w:r>
          </w:p>
        </w:tc>
        <w:tc>
          <w:tcPr>
            <w:tcW w:type="dxa" w:w="2484"/>
            <w:vAlign w:val="center"/>
          </w:tcPr>
          <w:p>
            <w:r>
              <w:t>同一会话完整恢复，旧消息顺序不变，不重复创建开场白。</w:t>
            </w:r>
          </w:p>
        </w:tc>
        <w:tc>
          <w:tcPr>
            <w:tcW w:type="dxa" w:w="2484"/>
            <w:vAlign w:val="center"/>
          </w:tcPr>
          <w:p>
            <w:r>
              <w:t>立即停止部署后继续写入；先确认是否数据库连接错误。</w:t>
            </w:r>
          </w:p>
        </w:tc>
      </w:tr>
    </w:tbl>
    <w:p>
      <w:pPr>
        <w:pStyle w:val="Heading1"/>
      </w:pPr>
      <w:r>
        <w:t>五、部署前必须设置的安全闸门</w:t>
      </w:r>
    </w:p>
    <w:p>
      <w:pPr>
        <w:pStyle w:val="ListBullet"/>
      </w:pPr>
      <w:r>
        <w:t>第40次报告明确：第40次代码未部署，数据库迁移004尚未应用到 Render。不得假设线上已经包含新功能。</w:t>
      </w:r>
    </w:p>
    <w:p>
      <w:pPr>
        <w:pStyle w:val="ListBullet"/>
      </w:pPr>
      <w:r>
        <w:t>在部署前，先由 Codex 检查现有 Render 服务连接的数据库、分支、当前部署提交，以及迁移004是否与旧数据兼容；不得新建服务或数据库来规避问题。</w:t>
      </w:r>
    </w:p>
    <w:p>
      <w:pPr>
        <w:pStyle w:val="ListBullet"/>
      </w:pPr>
      <w:r>
        <w:t>取得完整数据库备份，范围至少包括参与者、账号哈希、实验分配、会话、消息、状态、变量、事件和评分。下载研究 JSON/CSV不等于可恢复数据库备份。</w:t>
      </w:r>
    </w:p>
    <w:p>
      <w:pPr>
        <w:pStyle w:val="ListBullet"/>
      </w:pPr>
      <w:r>
        <w:t>备份须有校验值，并在独立隔离数据库恢复验证；线上恢复不得覆盖当前研究数据库。若研究者当前无法安全完成备份，应暂停部署，由 Codex 给出一次只需执行一步的具体指引。</w:t>
      </w:r>
    </w:p>
    <w:p>
      <w:pPr>
        <w:pStyle w:val="ListBullet"/>
      </w:pPr>
      <w:r>
        <w:t>部署由研究者审阅后手动批准。不要自动触发 Render 部署；不得要求研究者重新填写 API Key、删除旧服务或重新创建账号。</w:t>
      </w:r>
    </w:p>
    <w:p>
      <w:pPr>
        <w:pStyle w:val="ListBullet"/>
      </w:pPr>
      <w:r>
        <w:t>部署后先检查 /api/ready，再用部署前已存在的测试账号验证登录、分组、历史消息、评分和管理员导出。确认实际 Live 提交号与预期提交一致。</w:t>
      </w:r>
    </w:p>
    <w:p>
      <w:pPr>
        <w:pStyle w:val="Heading1"/>
      </w:pPr>
      <w:r>
        <w:t>六、每轮交付报告必须按此格式回答</w:t>
      </w:r>
    </w:p>
    <w:p>
      <w:pPr>
        <w:pStyle w:val="ListNumber"/>
      </w:pPr>
      <w:r>
        <w:t>本轮代码提交号 / 基线提交号 / 是否已部署 Render。</w:t>
      </w:r>
    </w:p>
    <w:p>
      <w:pPr>
        <w:pStyle w:val="ListNumber"/>
      </w:pPr>
      <w:r>
        <w:t>改动内容及文件列表；研究材料、状态机、Validator、账号/数据库分别是否变更。</w:t>
      </w:r>
    </w:p>
    <w:p>
      <w:pPr>
        <w:pStyle w:val="ListNumber"/>
      </w:pPr>
      <w:r>
        <w:t>自动测试：命令、退出码、测试数、失败项和失败日志链接。</w:t>
      </w:r>
    </w:p>
    <w:p>
      <w:pPr>
        <w:pStyle w:val="ListNumber"/>
      </w:pPr>
      <w:r>
        <w:t>真实模型：调用次数、实际模型、路径、耗时、格式/语义结果；没有执行的项目标记 NOT RUN。</w:t>
      </w:r>
    </w:p>
    <w:p>
      <w:pPr>
        <w:pStyle w:val="ListNumber"/>
      </w:pPr>
      <w:r>
        <w:t>人工测试：本轮必须由研究者测试的步骤、预计耗时、测试账号类型、预期结果。</w:t>
      </w:r>
    </w:p>
    <w:p>
      <w:pPr>
        <w:pStyle w:val="ListNumber"/>
      </w:pPr>
      <w:r>
        <w:t>数据安全：备份范围、备份位置/校验值、隔离恢复结果、旧账号保留验证。未做则明确 NOT VERIFIED。</w:t>
      </w:r>
    </w:p>
    <w:p>
      <w:pPr>
        <w:pStyle w:val="ListNumber"/>
      </w:pPr>
      <w:r>
        <w:t>放行结论只能选：可继续本地测试 / 可部署到内部测试站 / 仍阻塞 / 可申请正式实验验收。不得直接写“正式可用”而无证据。</w:t>
      </w:r>
    </w:p>
    <w:p>
      <w:pPr>
        <w:pStyle w:val="ListNumber"/>
      </w:pPr>
      <w:r>
        <w:t>若需要研究者操作，必须用编号列出准确点击路径和停止条件，一次最多要求完成一组紧密相关的操作；不得只说“请配置环境”。</w:t>
      </w:r>
    </w:p>
    <w:p>
      <w:pPr>
        <w:pStyle w:val="Heading1"/>
      </w:pPr>
      <w:r>
        <w:t>七、当前轮次的研究者手动操作要求</w:t>
      </w:r>
    </w:p>
    <w:p>
      <w:r>
        <w:t>现在先不要点击 Render 的 Manual Deploy，也不要修改环境变量。第40次报告标明线上未部署，且线上备份/恢复尚未验证。</w:t>
      </w:r>
    </w:p>
    <w:p>
      <w:pPr>
        <w:pStyle w:val="ListNumber"/>
      </w:pPr>
      <w:r>
        <w:t>现在：把本反馈发给 Codex，要求它先对照 round40-delivery.zip 和当前 GitHub work 分支，核对提交号与部署差异，再完成验收流程和报告。</w:t>
      </w:r>
    </w:p>
    <w:p>
      <w:pPr>
        <w:pStyle w:val="ListNumber"/>
      </w:pPr>
      <w:r>
        <w:t>收到 Codex 报告后：先检查是否有测试失败、数据库迁移或备份风险。若 Codex 不能证明线上备份和迁移安全，暂停部署，把报告发回本对话复核。</w:t>
      </w:r>
    </w:p>
    <w:p>
      <w:pPr>
        <w:pStyle w:val="ListNumber"/>
      </w:pPr>
      <w:r>
        <w:t>只有明确批准部署后：登录 Render，打开现有 ai-agent-research-staging 服务，确认分支和目标提交，再按 Codex 提供的备份/迁移指引操作；随后在 Manual Deploy 中部署最新提交。</w:t>
      </w:r>
    </w:p>
    <w:p>
      <w:pPr>
        <w:pStyle w:val="ListNumber"/>
      </w:pPr>
      <w:r>
        <w:t>部署完成后：打开 https://ai-agent-research-staging.onrender.com/ ，用现有测试账号执行第四节的人工验收，并把失败项截图发给 Codex。不要使用真实被试数据。</w:t>
      </w:r>
    </w:p>
    <w:p>
      <w:pPr>
        <w:pStyle w:val="ListNumber"/>
      </w:pPr>
      <w:r>
        <w:t>四组原始人物头像仍未找到。若要完成正式刺激材料验收，需要研究者提供 WorkBuddy 原始头像/迁移包，或明确批准另行设计新头像；在此之前只能标记为占位素材，不能冒称已验收。</w:t>
      </w:r>
    </w:p>
    <w:p>
      <w:pPr>
        <w:pStyle w:val="Heading1"/>
      </w:pPr>
      <w:r>
        <w:t>八、正式数据采集前仍然独立阻塞的事项</w:t>
      </w:r>
    </w:p>
    <w:p>
      <w:pPr>
        <w:pStyle w:val="ListBullet"/>
      </w:pPr>
      <w:r>
        <w:t>线上及异地备份恢复演练通过；明确托管数据库的保留期限和恢复方案。</w:t>
      </w:r>
    </w:p>
    <w:p>
      <w:pPr>
        <w:pStyle w:val="ListBullet"/>
      </w:pPr>
      <w:r>
        <w:t>真实模型完成认知、情感、日常三条路径的完整对话测试，并由研究者人工审查语言自然度、阶段目标、人物归属、问题数量和内容完整性。</w:t>
      </w:r>
    </w:p>
    <w:p>
      <w:pPr>
        <w:pStyle w:val="ListBullet"/>
      </w:pPr>
      <w:r>
        <w:t>四组日常路径头像/身份刺激材料完成研究者确认。</w:t>
      </w:r>
    </w:p>
    <w:p>
      <w:pPr>
        <w:pStyle w:val="ListBullet"/>
      </w:pPr>
      <w:r>
        <w:t>至少30人真实并发测试及数据隔离验证；不能以45个合成用户本地测试代替真实托管环境并发测试。</w:t>
      </w:r>
    </w:p>
    <w:p>
      <w:pPr>
        <w:pStyle w:val="ListBullet"/>
      </w:pPr>
      <w:r>
        <w:t>跨14个自然日的实际持久化与续用验证，或在研究者批准的替代验收方案下验证数据保存和登录恢复；不得把时钟模拟说成真实14天。</w:t>
      </w:r>
    </w:p>
    <w:p>
      <w:pPr>
        <w:pStyle w:val="ListBullet"/>
      </w:pPr>
      <w:r>
        <w:t>完成隐私告知、权限隔离、导出完整性、异常恢复与正式招募审批。</w:t>
      </w:r>
    </w:p>
    <w:p>
      <w:pPr>
        <w:pStyle w:val="Heading1"/>
      </w:pPr>
      <w:r>
        <w:t>九、给 Codex 的最终执行指令</w:t>
      </w:r>
    </w:p>
    <w:p>
      <w:r>
        <w:t>请不要仅回复计划。请先对照本轮验收要求检查当前仓库和第40次交付证据，补齐缺失的自动化检查、验收报告和研究者操作指引。本轮不允许自动部署，不允许清空/重建数据库，不允许重置已有账号，不允许将本地合成测试描述为线上验证。完成后先提交代码与验收报告，逐项说明哪些测试由 Codex 完成、哪些必须由研究者手动完成，以及是否建议部署。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