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36"/>
        </w:rPr>
        <w:t>第30次反馈：真实双模型对比后的人评与公网部署推进</w:t>
      </w:r>
    </w:p>
    <w:p>
      <w:pPr>
        <w:jc w:val="center"/>
      </w:pPr>
      <w:r>
        <w:rPr>
          <w:rFonts w:ascii="Microsoft YaHei" w:hAnsi="Microsoft YaHei" w:eastAsia="微软雅黑"/>
          <w:sz w:val="20"/>
        </w:rPr>
        <w:t>目标：尽快得到可通过网址访问的研究者体验版，并完成 GPT / DeepSeek 的实际选择</w:t>
      </w:r>
    </w:p>
    <w:p>
      <w:pPr>
        <w:pStyle w:val="Heading1"/>
      </w:pPr>
      <w:r>
        <w:t>一、依据最新代码包重新判断当前阶段</w:t>
      </w:r>
    </w:p>
    <w:p>
      <w:r>
        <w:rPr>
          <w:b/>
        </w:rPr>
        <w:t>本轮不需要再做“GPT是否能连接”的排障。</w:t>
      </w:r>
      <w:r>
        <w:t xml:space="preserve"> 最新代码包已经完成真实 GPT / DeepSeek 采样：GPT 账户实际可用对话模型为 gpt-4，请求返回模型为 gpt-4-0613；DeepSeek 继续使用 deepseek-flash。GPT 流式 smoke 已 HTTP 200，首个可见文本约 2.80 秒，总响应约 3.09 秒。</w:t>
      </w:r>
    </w:p>
    <w:p>
      <w:r>
        <w:t>真实模型比较已收集 164 条诊断样本、191 次模型请求。工程回归为 459 项 Vitest + 18 项浏览器测试通过。实验核心状态机、Validator、Prompt、冻结研究参数和数据库结构均未因模型比较而改变。</w:t>
      </w:r>
    </w:p>
    <w:p>
      <w:pPr>
        <w:pStyle w:val="Heading1"/>
      </w:pPr>
      <w:r>
        <w:t>二、双模型当前证据：先不要直接宣布“哪个最好”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范围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模型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P50 / P95 / max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重试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兜底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状态违规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32个配对案例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GPT-4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3932 / 6559 / 13955 ms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32个配对案例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DeepSeek Flash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3407 / 9149 / 9473 ms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25轮×认知/情感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GPT-4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4544 / 8198 / 9474 ms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25轮×认知/情感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DeepSeek Flash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3933 / 9238 / 9801 ms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</w:tr>
    </w:tbl>
    <w:p>
      <w:r>
        <w:rPr>
          <w:b/>
        </w:rPr>
        <w:t>阶段性判断：</w:t>
      </w:r>
      <w:r>
        <w:t>GPT 在连续 25 轮诊断中表现出更好的运行稳定性（本次 0 重试、0 兜底），DeepSeek 在同一范围出现 16 次重试、6 次兜底并记录 1 次生成异常/1 次 502；但 DeepSeek 在部分中位延迟和配对流程标签上更低。以上都是工程诊断，不等于最终语言体验排名。</w:t>
      </w:r>
    </w:p>
    <w:p>
      <w:r>
        <w:rPr>
          <w:b/>
        </w:rPr>
        <w:t>因此本轮不要再扩大模型测试量。</w:t>
      </w:r>
      <w:r>
        <w:t xml:space="preserve"> 下一步应做人类语言审核和研究者自由体验，之后再决定导师测试默认模型。</w:t>
      </w:r>
    </w:p>
    <w:p>
      <w:pPr>
        <w:pStyle w:val="Heading1"/>
      </w:pPr>
      <w:r>
        <w:t>三、本轮必须完成：人工语言审核，但不要求人工审完164条才能继续</w:t>
      </w:r>
    </w:p>
    <w:p>
      <w:r>
        <w:t>请从现有 164 条真实样本中自动抽取一个“分层人工审核包”，建议约 30–40 条，至少覆盖：</w:t>
      </w:r>
    </w:p>
    <w:p>
      <w:pPr>
        <w:pStyle w:val="ListBullet"/>
      </w:pPr>
      <w:r>
        <w:t>GPT 与 DeepSeek 的正常回复；</w:t>
      </w:r>
    </w:p>
    <w:p>
      <w:pPr>
        <w:pStyle w:val="ListBullet"/>
      </w:pPr>
      <w:r>
        <w:t>所有兜底/重试后最终回复；</w:t>
      </w:r>
    </w:p>
    <w:p>
      <w:pPr>
        <w:pStyle w:val="ListBullet"/>
      </w:pPr>
      <w:r>
        <w:t>BELIEF_ANCHOR_MISSING、BELIEF_REPLACEMENT、BACKEND_DISCLOSURE、WRONG_SCENE、EMPTY_REPLY 等异常样本；</w:t>
      </w:r>
    </w:p>
    <w:p>
      <w:pPr>
        <w:pStyle w:val="ListBullet"/>
      </w:pPr>
      <w:r>
        <w:t>认知与情感路径、普通输入与非标准中文输入。</w:t>
      </w:r>
    </w:p>
    <w:p>
      <w:r>
        <w:t>人工审核维度继续使用 1–5 分：中文自然清楚、逻辑连贯、指代清楚、不重复、实验一致性、非标准表达理解。另增加两个直接判断：①我作为参与者是否愿意继续聊下去；②是否出现明显“机器人/实验脚本感”。</w:t>
      </w:r>
    </w:p>
    <w:p>
      <w:r>
        <w:rPr>
          <w:b/>
        </w:rPr>
        <w:t>模型选择规则建议：</w:t>
      </w:r>
      <w:r>
        <w:t>优先选择人工体验更自然、长对话更稳定、关键实验节点不受影响的模型，而不是单纯选择更快或更便宜的模型。若人工评分接近，则优先采用连续对话中重试/兜底更少的模型。</w:t>
      </w:r>
    </w:p>
    <w:p>
      <w:pPr>
        <w:pStyle w:val="Heading1"/>
      </w:pPr>
      <w:r>
        <w:t>四、GPT 配置处理：本轮需要把实际可用模型持久化</w:t>
      </w:r>
    </w:p>
    <w:p>
      <w:r>
        <w:t>最新代码已经证明该 GPT Key 可用，但 gpt-4.1 不在当前账户模型列表；当前实际可用对话模型为 gpt-4，返回 gpt-4-0613。</w:t>
      </w:r>
    </w:p>
    <w:p>
      <w:r>
        <w:rPr>
          <w:b/>
        </w:rPr>
        <w:t>请 Codex 保持：</w:t>
      </w:r>
      <w:r>
        <w:t xml:space="preserve"> GPT_API_BASE_URL 不变，不重新要求研究者更换 GPT Key；后续真实比较和体验使用 GPT_MODEL_NAME=gpt-4。</w:t>
      </w:r>
    </w:p>
    <w:p>
      <w:r>
        <w:t>注意：代码包说明当前云环境只是“草稿保存了 gpt-4 建议值”，既有绑定不会自动覆盖。因此请在后续任务开始前明确提示研究者：需要在 Codex Environment 中把 GPT_MODEL_NAME 改为 gpt-4，并“保存 + 发布”，随后只检查模型名和变量存在性，不打印任何密钥。</w:t>
      </w:r>
    </w:p>
    <w:p>
      <w:pPr>
        <w:pStyle w:val="Heading1"/>
      </w:pPr>
      <w:r>
        <w:t>五、现在最重要的工程任务：取得真正的公网网址</w:t>
      </w:r>
    </w:p>
    <w:p>
      <w:r>
        <w:t>当前 external_url 仍为 null。Windows 本地版和 Codex 临时运行环境都不再作为最终体验入口。继续使用仓库已经准备好的 Render 托管方案作为首选，不要重新发散到多个部署平台。</w:t>
      </w:r>
    </w:p>
    <w:p>
      <w:r>
        <w:t>本轮请把部署工作收敛成“一次性用户操作 + Codex后续验收”：</w:t>
      </w:r>
    </w:p>
    <w:p>
      <w:r>
        <w:t>1. 确认 render.yaml / Docker / PostgreSQL Blueprint 仍可部署，并把部署文档更新到最新模型配置。</w:t>
      </w:r>
    </w:p>
    <w:p>
      <w:r>
        <w:t>2. 研究者完成 Render 登录、GitHub 仓库授权、套餐/费用确认、Secret 输入和点击部署。</w:t>
      </w:r>
    </w:p>
    <w:p>
      <w:r>
        <w:t>3. 部署成功后取得真实 HTTPS URL；不要猜测网址。</w:t>
      </w:r>
    </w:p>
    <w:p>
      <w:r>
        <w:t>4. 拿到 URL 后立即执行 /api/ready、外部设备访问、数据库持久化、完整导出、权限隔离测试。</w:t>
      </w:r>
    </w:p>
    <w:p>
      <w:r>
        <w:t>5. 研究者本人使用真实 URL 完成认知、情感、日常三条非脚本体验，并填写人工语言审核。</w:t>
      </w:r>
    </w:p>
    <w:p>
      <w:r>
        <w:t>6. 上述通过后再进行 3–5 台设备测试；最后才执行已批准预算的 30 人真实模型并发。</w:t>
      </w:r>
    </w:p>
    <w:p>
      <w:pPr>
        <w:pStyle w:val="Heading1"/>
      </w:pPr>
      <w:r>
        <w:t>六、部署前请补齐 Render 的双模型配置，但不要让运行中的批次随意切模型</w:t>
      </w:r>
    </w:p>
    <w:p>
      <w:r>
        <w:t>当前 render.yaml 默认只有 DEEPSEEK_API_KEY，并固定 MODEL_PROVIDER=deepseek。由于现在已决定比较 GPT 与 DeepSeek，请在不改变实验核心的前提下补齐 staging 的模型配置能力：</w:t>
      </w:r>
    </w:p>
    <w:p>
      <w:pPr>
        <w:pStyle w:val="ListBullet"/>
      </w:pPr>
      <w:r>
        <w:t>增加 GPT_API_KEY Secret 占位（sync:false），不得写入仓库；</w:t>
      </w:r>
    </w:p>
    <w:p>
      <w:pPr>
        <w:pStyle w:val="ListBullet"/>
      </w:pPr>
      <w:r>
        <w:t>增加 GPT_MODEL_NAME=gpt-4 和 GPT_API_BASE_URL 的非秘密配置；</w:t>
      </w:r>
    </w:p>
    <w:p>
      <w:pPr>
        <w:pStyle w:val="ListBullet"/>
      </w:pPr>
      <w:r>
        <w:t>保留 DEEPSEEK_API_KEY、deepseek-flash；</w:t>
      </w:r>
    </w:p>
    <w:p>
      <w:pPr>
        <w:pStyle w:val="ListBullet"/>
      </w:pPr>
      <w:r>
        <w:t>MODEL_PROVIDER 必须在“新批次/新部署”开始前固定，已经开始的参与者批次禁止中途切换模型；</w:t>
      </w:r>
    </w:p>
    <w:p>
      <w:pPr>
        <w:pStyle w:val="ListBullet"/>
      </w:pPr>
      <w:r>
        <w:t>若要做研究者 A/B 体验，使用独立测试批次或独立测试账号，数据库中记录 provider、requested model、response model 和 prompt/research version。</w:t>
      </w:r>
    </w:p>
    <w:p>
      <w:r>
        <w:t>不要为了模型切换修改 experiment-core、State 顺序或冻结研究材料。</w:t>
      </w:r>
    </w:p>
    <w:p>
      <w:pPr>
        <w:pStyle w:val="Heading1"/>
      </w:pPr>
      <w:r>
        <w:t>七、请明确告诉研究者：现在确实有需要本人手动完成的步骤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2F0D9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用户操作</w:t>
            </w:r>
          </w:p>
        </w:tc>
        <w:tc>
          <w:tcPr>
            <w:tcW w:type="dxa" w:w="3264"/>
            <w:vAlign w:val="center"/>
            <w:shd w:fill="E2F0D9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是否现在做</w:t>
            </w:r>
          </w:p>
        </w:tc>
        <w:tc>
          <w:tcPr>
            <w:tcW w:type="dxa" w:w="3264"/>
            <w:vAlign w:val="center"/>
            <w:shd w:fill="E2F0D9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Codex Environment：GPT_MODEL_NAME 改为 gpt-4，并保存/发布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这是非秘密变量；不要再次发送API Key。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Render 注册/登录并授权 GitHub 仓库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Codex无法替用户授予第三方账户权限。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在 Render 控制台确认 Web + PostgreSQL 套餐费用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不自动购买；以账户实时报价为准。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在 Render Secret 中填写 DEEPSEEK_API_KEY / GPT_API_KEY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是，若两模型都要在线体验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只在Secret界面填写，不发聊天、不进Git。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点击 Blueprint 部署并把实际 HTTPS URL 发回 Codex/GPT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这是取得线上体验网址的关键一步。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人工语言评分和本人非脚本体验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部署后做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必须由研究者完成，Codex不能代签。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手动改代码/数据库/服务器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否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继续由Codex处理。</w:t>
            </w:r>
          </w:p>
        </w:tc>
      </w:tr>
    </w:tbl>
    <w:p>
      <w:pPr>
        <w:pStyle w:val="Heading1"/>
      </w:pPr>
      <w:r>
        <w:t>八、用户操作应尽可能少：Codex不得再把技术工作转嫁给研究者</w:t>
      </w:r>
    </w:p>
    <w:p>
      <w:r>
        <w:t>除第三方账号授权、费用确认、Secret录入、点击部署和人工体验之外，其余部署配置、数据库迁移、健康检查、测试账号初始化、日志与导出验收、问题修复均由 Codex 完成。若出现新的用户操作要求，请先说明“为什么必须由用户完成、在哪里操作、填什么、不应填什么、成功后看到什么”，不要只回复“请配置环境”。</w:t>
      </w:r>
    </w:p>
    <w:p>
      <w:pPr>
        <w:pStyle w:val="Heading1"/>
      </w:pPr>
      <w:r>
        <w:t>九、本轮验收输出要求</w:t>
      </w:r>
    </w:p>
    <w:p>
      <w:r>
        <w:t>1. 更新后的 GPT/DeepSeek 人工审核包与评分模板；</w:t>
      </w:r>
    </w:p>
    <w:p>
      <w:r>
        <w:t>2. Render 双模型 staging 配置变更说明（如有），证明未修改实验核心；</w:t>
      </w:r>
    </w:p>
    <w:p>
      <w:r>
        <w:t>3. 给研究者的一页式 Render 手动操作清单；</w:t>
      </w:r>
    </w:p>
    <w:p>
      <w:r>
        <w:t>4. 若研究者完成授权部署：返回真实 HTTPS URL、/api/ready 结果和外部访问证据；</w:t>
      </w:r>
    </w:p>
    <w:p>
      <w:r>
        <w:t>5. 若尚未部署：明确唯一剩余人为阻塞，不得用本地Preview代替公网URL；</w:t>
      </w:r>
    </w:p>
    <w:p>
      <w:r>
        <w:t>6. 当前 mentor_test_ready / formal_ready 继续保持 false，直至人工体验和线上验收完成。</w:t>
      </w:r>
    </w:p>
    <w:p>
      <w:pPr>
        <w:pStyle w:val="Heading1"/>
      </w:pPr>
      <w:r>
        <w:t>十、本轮开发原则</w:t>
      </w:r>
    </w:p>
    <w:p>
      <w:r>
        <w:rPr>
          <w:b/>
        </w:rPr>
        <w:t>优先级：公网可体验 &gt; 人工语言质量 &gt; 模型选择 &gt; 30人真实并发 &gt; UI美化。</w:t>
      </w:r>
      <w:r>
        <w:t xml:space="preserve"> 暂不扩大词库、重写 Validator、重构状态机、增加新模型或美化界面。当前最重要的是让研究者尽快通过真实网址与两种模型实际对话，并基于体验作出模型选择。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