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第27次交付验收报告：内部体验部署准备</w:t>
      </w:r>
    </w:p>
    <w:p>
      <w:r>
        <w:t>本轮目标：明确当前 Preview 能力与研究者手动操作，验证原体验包仍能运行，并提供可直接交给运维的最小部署方案。结论：内部运行与部署材料验收完成；外部可访问体验入口未完成，导师测试不放行。没有改变实验逻辑，不以已通过的工程测试替代公网部署或人工审核。</w:t>
      </w:r>
    </w:p>
    <w:p>
      <w:pPr>
        <w:pStyle w:val="Heading2"/>
      </w:pPr>
      <w:r>
        <w:t>附件要求逐项评估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附件要求</w:t>
            </w:r>
          </w:p>
        </w:tc>
        <w:tc>
          <w:tcPr>
            <w:tcW w:type="dxa" w:w="2880"/>
          </w:tcPr>
          <w:p>
            <w:r>
              <w:t>本轮状态</w:t>
            </w:r>
          </w:p>
        </w:tc>
        <w:tc>
          <w:tcPr>
            <w:tcW w:type="dxa" w:w="2880"/>
          </w:tcPr>
          <w:p>
            <w:r>
              <w:t>验收依据／外部动作</w:t>
            </w:r>
          </w:p>
        </w:tc>
      </w:tr>
      <w:tr>
        <w:tc>
          <w:tcPr>
            <w:tcW w:type="dxa" w:w="2880"/>
          </w:tcPr>
          <w:p>
            <w:r>
              <w:t>可直接生成 Preview URL</w:t>
            </w:r>
          </w:p>
        </w:tc>
        <w:tc>
          <w:tcPr>
            <w:tcW w:type="dxa" w:w="2880"/>
          </w:tcPr>
          <w:p>
            <w:r>
              <w:t>当前能力不支持</w:t>
            </w:r>
          </w:p>
        </w:tc>
        <w:tc>
          <w:tcPr>
            <w:tcW w:type="dxa" w:w="2880"/>
          </w:tcPr>
          <w:p>
            <w:r>
              <w:t>会话工具核查，无已授权部署目标；只说明本会话边界</w:t>
            </w:r>
          </w:p>
        </w:tc>
      </w:tr>
      <w:tr>
        <w:tc>
          <w:tcPr>
            <w:tcW w:type="dxa" w:w="2880"/>
          </w:tcPr>
          <w:p>
            <w:r>
              <w:t>可共享临时地址</w:t>
            </w:r>
          </w:p>
        </w:tc>
        <w:tc>
          <w:tcPr>
            <w:tcW w:type="dxa" w:w="2880"/>
          </w:tcPr>
          <w:p>
            <w:r>
              <w:t>无已生成或已配置地址</w:t>
            </w:r>
          </w:p>
        </w:tc>
        <w:tc>
          <w:tcPr>
            <w:tcW w:type="dxa" w:w="2880"/>
          </w:tcPr>
          <w:p>
            <w:r>
              <w:t>回环端口不能作为共享链接</w:t>
            </w:r>
          </w:p>
        </w:tc>
      </w:tr>
      <w:tr>
        <w:tc>
          <w:tcPr>
            <w:tcW w:type="dxa" w:w="2880"/>
          </w:tcPr>
          <w:p>
            <w:r>
              <w:t>内置存储和数据库</w:t>
            </w:r>
          </w:p>
        </w:tc>
        <w:tc>
          <w:tcPr>
            <w:tcW w:type="dxa" w:w="2880"/>
          </w:tcPr>
          <w:p>
            <w:r>
              <w:t>工作目录与自建 PostgreSQL 可用</w:t>
            </w:r>
          </w:p>
        </w:tc>
        <w:tc>
          <w:tcPr>
            <w:tcW w:type="dxa" w:w="2880"/>
          </w:tcPr>
          <w:p>
            <w:r>
              <w:t>专用本地 volume，非平台受管库；跨任务持久性未证明</w:t>
            </w:r>
          </w:p>
        </w:tc>
      </w:tr>
      <w:tr>
        <w:tc>
          <w:tcPr>
            <w:tcW w:type="dxa" w:w="2880"/>
          </w:tcPr>
          <w:p>
            <w:r>
              <w:t>尽快确定简单方案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DigitalOcean／独立 Linux VM + 域名 + Caddy + 原服务／专用 PG</w:t>
            </w:r>
          </w:p>
        </w:tc>
      </w:tr>
      <w:tr>
        <w:tc>
          <w:tcPr>
            <w:tcW w:type="dxa" w:w="2880"/>
          </w:tcPr>
          <w:p>
            <w:r>
              <w:t>列出需要申请的服务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详见部署操作表，说明必须／可选、费用、安全与责任</w:t>
            </w:r>
          </w:p>
        </w:tc>
      </w:tr>
      <w:tr>
        <w:tc>
          <w:tcPr>
            <w:tcW w:type="dxa" w:w="2880"/>
          </w:tcPr>
          <w:p>
            <w:r>
              <w:t>浏览器可访问</w:t>
            </w:r>
          </w:p>
        </w:tc>
        <w:tc>
          <w:tcPr>
            <w:tcW w:type="dxa" w:w="2880"/>
          </w:tcPr>
          <w:p>
            <w:r>
              <w:t>内部通过，外部未通过</w:t>
            </w:r>
          </w:p>
        </w:tc>
        <w:tc>
          <w:tcPr>
            <w:tcW w:type="dxa" w:w="2880"/>
          </w:tcPr>
          <w:p>
            <w:r>
              <w:t>本轮 HTML／JS 与 18 项浏览器回归；尚无公网地址</w:t>
            </w:r>
          </w:p>
        </w:tc>
      </w:tr>
      <w:tr>
        <w:tc>
          <w:tcPr>
            <w:tcW w:type="dxa" w:w="2880"/>
          </w:tcPr>
          <w:p>
            <w:r>
              <w:t>认知／情感路径可完成</w:t>
            </w:r>
          </w:p>
        </w:tc>
        <w:tc>
          <w:tcPr>
            <w:tcW w:type="dxa" w:w="2880"/>
          </w:tcPr>
          <w:p>
            <w:r>
              <w:t>历史真实证据保留，新离线回归通过</w:t>
            </w:r>
          </w:p>
        </w:tc>
        <w:tc>
          <w:tcPr>
            <w:tcW w:type="dxa" w:w="2880"/>
          </w:tcPr>
          <w:p>
            <w:r>
              <w:t>第26次真实浏览器完成；本轮没有重跑付费完整路径</w:t>
            </w:r>
          </w:p>
        </w:tc>
      </w:tr>
      <w:tr>
        <w:tc>
          <w:tcPr>
            <w:tcW w:type="dxa" w:w="2880"/>
          </w:tcPr>
          <w:p>
            <w:r>
              <w:t>DeepSeek 正常调用</w:t>
            </w:r>
          </w:p>
        </w:tc>
        <w:tc>
          <w:tcPr>
            <w:tcW w:type="dxa" w:w="2880"/>
          </w:tcPr>
          <w:p>
            <w:r>
              <w:t>当前协议连通通过</w:t>
            </w:r>
          </w:p>
        </w:tc>
        <w:tc>
          <w:tcPr>
            <w:tcW w:type="dxa" w:w="2880"/>
          </w:tcPr>
          <w:p>
            <w:r>
              <w:t>本轮一次 HTTP200，response_model=deepseek-flash</w:t>
            </w:r>
          </w:p>
        </w:tc>
      </w:tr>
      <w:tr>
        <w:tc>
          <w:tcPr>
            <w:tcW w:type="dxa" w:w="2880"/>
          </w:tcPr>
          <w:p>
            <w:r>
              <w:t>对话保存与数据导出</w:t>
            </w:r>
          </w:p>
        </w:tc>
        <w:tc>
          <w:tcPr>
            <w:tcW w:type="dxa" w:w="2880"/>
          </w:tcPr>
          <w:p>
            <w:r>
              <w:t>当前独立实例通过</w:t>
            </w:r>
          </w:p>
        </w:tc>
        <w:tc>
          <w:tcPr>
            <w:tcW w:type="dxa" w:w="2880"/>
          </w:tcPr>
          <w:p>
            <w:r>
              <w:t>六分配记录保留，完整导出与八项完整性检查通过</w:t>
            </w:r>
          </w:p>
        </w:tc>
      </w:tr>
      <w:tr>
        <w:tc>
          <w:tcPr>
            <w:tcW w:type="dxa" w:w="2880"/>
          </w:tcPr>
          <w:p>
            <w:r>
              <w:t>异常可定位</w:t>
            </w:r>
          </w:p>
        </w:tc>
        <w:tc>
          <w:tcPr>
            <w:tcW w:type="dxa" w:w="2880"/>
          </w:tcPr>
          <w:p>
            <w:r>
              <w:t>既有只读诊断保留，当前访问隔离通过</w:t>
            </w:r>
          </w:p>
        </w:tc>
        <w:tc>
          <w:tcPr>
            <w:tcW w:type="dxa" w:w="2880"/>
          </w:tcPr>
          <w:p>
            <w:r>
              <w:t>现有浏览器回归含异常／诊断；已解释端口占用并用支持的覆盖启动</w:t>
            </w:r>
          </w:p>
        </w:tc>
      </w:tr>
      <w:tr>
        <w:tc>
          <w:tcPr>
            <w:tcW w:type="dxa" w:w="2880"/>
          </w:tcPr>
          <w:p>
            <w:r>
              <w:t>研究者非脚本体验／人工审核</w:t>
            </w:r>
          </w:p>
        </w:tc>
        <w:tc>
          <w:tcPr>
            <w:tcW w:type="dxa" w:w="2880"/>
          </w:tcPr>
          <w:p>
            <w:r>
              <w:t>待完成</w:t>
            </w:r>
          </w:p>
        </w:tc>
        <w:tc>
          <w:tcPr>
            <w:tcW w:type="dxa" w:w="2880"/>
          </w:tcPr>
          <w:p>
            <w:r>
              <w:t>三个 R001 仍未聊天，不能标成已体验</w:t>
            </w:r>
          </w:p>
        </w:tc>
      </w:tr>
    </w:tbl>
    <w:p>
      <w:pPr>
        <w:pStyle w:val="Heading2"/>
      </w:pPr>
      <w:r>
        <w:t>本轮运行证据</w:t>
      </w:r>
    </w:p>
    <w:p>
      <w:r>
        <w:t>新做 npm run build 退出 0；npm run test:browser 实际 18 项通过（本地 fixture，不调用模型）。没有在本轮声称重新运行 448 项 Vitest。内部启动后的 11 项功能检查见 internal-preview-verification.json：登录、静态资源、参与者与管理员隔离、完整导出、未使用人工账号、实验源文件不变及实验记录前后哈希一致。</w:t>
      </w:r>
    </w:p>
    <w:p>
      <w:r>
        <w:t>单次 smoke：requested_model=deepseek-flash，response_model=deepseek-flash，HTTP200，总响应 1082.79ms，retry=0、fallback=0、external_model_calls=1。未验证供应商“V4.1”营销／路由称谓，不产生新语义分数，也不修改实验状态机。首 token 未测量。</w:t>
      </w:r>
    </w:p>
    <w:p>
      <w:r>
        <w:t>默认 4173 已被原有进程监听，首次新启动返回失败；不是未经解释的成功。保留已有进程后在 4184 使用 RESEARCHER_PREVIEW_PORT 现有参数启动，HTML、JS 与鉴权业务请求通过。测试结束仅停止本轮启动的进程，保留原有服务和专用数据库历史。</w:t>
      </w:r>
    </w:p>
    <w:p>
      <w:r>
        <w:t>冻结基线：76d0547a6442284c6a2c1efcbf04db11ffc7034c。apps、packages、research、database、scripts、deploy、package.json 与 package-lock.json 无修改，运行源文件哈希见 environment-capabilities.json。新增内容限于文档、原附件和本轮生成验收文件。</w:t>
      </w:r>
    </w:p>
    <w:p>
      <w:pPr>
        <w:pStyle w:val="Heading2"/>
      </w:pPr>
      <w:r>
        <w:t>外部部署仍缺少什么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谁负责</w:t>
            </w:r>
          </w:p>
        </w:tc>
        <w:tc>
          <w:tcPr>
            <w:tcW w:type="dxa" w:w="2880"/>
          </w:tcPr>
          <w:p>
            <w:r>
              <w:t>是否本轮完成</w:t>
            </w:r>
          </w:p>
        </w:tc>
      </w:tr>
      <w:tr>
        <w:tc>
          <w:tcPr>
            <w:tcW w:type="dxa" w:w="2880"/>
          </w:tcPr>
          <w:p>
            <w:r>
              <w:t>云账号注册与付费项目、独立 VM 创建</w:t>
            </w:r>
          </w:p>
        </w:tc>
        <w:tc>
          <w:tcPr>
            <w:tcW w:type="dxa" w:w="2880"/>
          </w:tcPr>
          <w:p>
            <w:r>
              <w:t>研究者／运维</w:t>
            </w:r>
          </w:p>
        </w:tc>
        <w:tc>
          <w:tcPr>
            <w:tcW w:type="dxa" w:w="2880"/>
          </w:tcPr>
          <w:p>
            <w:r>
              <w:t>未完成，不擅自创建计费资源</w:t>
            </w:r>
          </w:p>
        </w:tc>
      </w:tr>
      <w:tr>
        <w:tc>
          <w:tcPr>
            <w:tcW w:type="dxa" w:w="2880"/>
          </w:tcPr>
          <w:p>
            <w:r>
              <w:t>测试域名、DNS A／必要时 AAAA</w:t>
            </w:r>
          </w:p>
        </w:tc>
        <w:tc>
          <w:tcPr>
            <w:tcW w:type="dxa" w:w="2880"/>
          </w:tcPr>
          <w:p>
            <w:r>
              <w:t>域名管理员</w:t>
            </w:r>
          </w:p>
        </w:tc>
        <w:tc>
          <w:tcPr>
            <w:tcW w:type="dxa" w:w="2880"/>
          </w:tcPr>
          <w:p>
            <w:r>
              <w:t>未完成</w:t>
            </w:r>
          </w:p>
        </w:tc>
      </w:tr>
      <w:tr>
        <w:tc>
          <w:tcPr>
            <w:tcW w:type="dxa" w:w="2880"/>
          </w:tcPr>
          <w:p>
            <w:r>
              <w:t>SSH 公钥及服务器授权</w:t>
            </w:r>
          </w:p>
        </w:tc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未完成；不索取私钥／root 密码</w:t>
            </w:r>
          </w:p>
        </w:tc>
      </w:tr>
      <w:tr>
        <w:tc>
          <w:tcPr>
            <w:tcW w:type="dxa" w:w="2880"/>
          </w:tcPr>
          <w:p>
            <w:r>
              <w:t>服务器实际 DEEPSEEK_API_KEY</w:t>
            </w:r>
          </w:p>
        </w:tc>
        <w:tc>
          <w:tcPr>
            <w:tcW w:type="dxa" w:w="2880"/>
          </w:tcPr>
          <w:p>
            <w:r>
              <w:t>研究者安全配置</w:t>
            </w:r>
          </w:p>
        </w:tc>
        <w:tc>
          <w:tcPr>
            <w:tcW w:type="dxa" w:w="2880"/>
          </w:tcPr>
          <w:p>
            <w:r>
              <w:t>未完成；现有 Codex Secret 不自动迁移</w:t>
            </w:r>
          </w:p>
        </w:tc>
      </w:tr>
      <w:tr>
        <w:tc>
          <w:tcPr>
            <w:tcW w:type="dxa" w:w="2880"/>
          </w:tcPr>
          <w:p>
            <w:r>
              <w:t>Node／Docker／Caddy／systemd 安装</w:t>
            </w:r>
          </w:p>
        </w:tc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文档已准备，外部执行未完成</w:t>
            </w:r>
          </w:p>
        </w:tc>
      </w:tr>
      <w:tr>
        <w:tc>
          <w:tcPr>
            <w:tcW w:type="dxa" w:w="2880"/>
          </w:tcPr>
          <w:p>
            <w:r>
              <w:t>HTTPS 与另一设备实际访问</w:t>
            </w:r>
          </w:p>
        </w:tc>
        <w:tc>
          <w:tcPr>
            <w:tcW w:type="dxa" w:w="2880"/>
          </w:tcPr>
          <w:p>
            <w:r>
              <w:t>运维与研究者</w:t>
            </w:r>
          </w:p>
        </w:tc>
        <w:tc>
          <w:tcPr>
            <w:tcW w:type="dxa" w:w="2880"/>
          </w:tcPr>
          <w:p>
            <w:r>
              <w:t>未完成；health 不能代替</w:t>
            </w:r>
          </w:p>
        </w:tc>
      </w:tr>
      <w:tr>
        <w:tc>
          <w:tcPr>
            <w:tcW w:type="dxa" w:w="2880"/>
          </w:tcPr>
          <w:p>
            <w:r>
              <w:t>三条自由体验、同会话六维审核</w:t>
            </w:r>
          </w:p>
        </w:tc>
        <w:tc>
          <w:tcPr>
            <w:tcW w:type="dxa" w:w="2880"/>
          </w:tcPr>
          <w:p>
            <w:r>
              <w:t>研究者本人</w:t>
            </w:r>
          </w:p>
        </w:tc>
        <w:tc>
          <w:tcPr>
            <w:tcW w:type="dxa" w:w="2880"/>
          </w:tcPr>
          <w:p>
            <w:r>
              <w:t>未完成</w:t>
            </w:r>
          </w:p>
        </w:tc>
      </w:tr>
      <w:tr>
        <w:tc>
          <w:tcPr>
            <w:tcW w:type="dxa" w:w="2880"/>
          </w:tcPr>
          <w:p>
            <w:r>
              <w:t>A／主要 B 整改复验与放行签署</w:t>
            </w:r>
          </w:p>
        </w:tc>
        <w:tc>
          <w:tcPr>
            <w:tcW w:type="dxa" w:w="2880"/>
          </w:tcPr>
          <w:p>
            <w:r>
              <w:t>开发与研究者</w:t>
            </w:r>
          </w:p>
        </w:tc>
        <w:tc>
          <w:tcPr>
            <w:tcW w:type="dxa" w:w="2880"/>
          </w:tcPr>
          <w:p>
            <w:r>
              <w:t>待实际审核后进行</w:t>
            </w:r>
          </w:p>
        </w:tc>
      </w:tr>
    </w:tbl>
    <w:p>
      <w:r>
        <w:t>在上述外部前提准备好前，不能提供真实体验网址或有效服务器账号。操作材料已经具体化，不继续让用户等待一个当前环境不能发布的地址。用户此前已选择部署包先交付，本轮没有再次询问相同部署选择。</w:t>
      </w:r>
    </w:p>
    <w:p>
      <w:pPr>
        <w:pStyle w:val="Heading2"/>
      </w:pPr>
      <w:r>
        <w:t>剩余风险</w:t>
      </w:r>
    </w:p>
    <w:p>
      <w:r>
        <w:t>第26次认知路径 20 轮中 8 轮兜底、9 次重试尚待人工确认响应性／忠实度／中性表达；本轮一次问候的成功不消除该风险。目标服务器容量、TLS、网络、持久化及异机恢复未验证。专用 Docker volume 可保留同机服务重启后的会话，但主机丢失需要独立备份；完整 JSON 导出也不等于可恢复整库备份。导师及正式研究 gate 均保持 false。</w:t>
      </w:r>
    </w:p>
    <w:p>
      <w:pPr>
        <w:pStyle w:val="Heading2"/>
      </w:pPr>
      <w:r>
        <w:t>文件索引与使用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docs/twenty-seventh-round-feedback.md / .docx</w:t>
            </w:r>
          </w:p>
        </w:tc>
        <w:tc>
          <w:tcPr>
            <w:tcW w:type="dxa" w:w="4320"/>
          </w:tcPr>
          <w:p>
            <w:r>
              <w:t>发给 GPT 的本轮反馈</w:t>
            </w:r>
          </w:p>
        </w:tc>
      </w:tr>
      <w:tr>
        <w:tc>
          <w:tcPr>
            <w:tcW w:type="dxa" w:w="4320"/>
          </w:tcPr>
          <w:p>
            <w:r>
              <w:t>docs/twenty-seventh-round-delivery-report.md / .docx</w:t>
            </w:r>
          </w:p>
        </w:tc>
        <w:tc>
          <w:tcPr>
            <w:tcW w:type="dxa" w:w="4320"/>
          </w:tcPr>
          <w:p>
            <w:r>
              <w:t>本验收报告</w:t>
            </w:r>
          </w:p>
        </w:tc>
      </w:tr>
      <w:tr>
        <w:tc>
          <w:tcPr>
            <w:tcW w:type="dxa" w:w="4320"/>
          </w:tcPr>
          <w:p>
            <w:r>
              <w:t>docs/preview-deployment-operations.md / .docx</w:t>
            </w:r>
          </w:p>
        </w:tc>
        <w:tc>
          <w:tcPr>
            <w:tcW w:type="dxa" w:w="4320"/>
          </w:tcPr>
          <w:p>
            <w:r>
              <w:t>服务申请、角色、安全、服务器操作与外部验收表</w:t>
            </w:r>
          </w:p>
        </w:tc>
      </w:tr>
      <w:tr>
        <w:tc>
          <w:tcPr>
            <w:tcW w:type="dxa" w:w="4320"/>
          </w:tcPr>
          <w:p>
            <w:r>
              <w:t>docs/inputs/round27-preview-deployment-requirements.docx</w:t>
            </w:r>
          </w:p>
        </w:tc>
        <w:tc>
          <w:tcPr>
            <w:tcW w:type="dxa" w:w="4320"/>
          </w:tcPr>
          <w:p>
            <w:r>
              <w:t>原始附件</w:t>
            </w:r>
          </w:p>
        </w:tc>
      </w:tr>
      <w:tr>
        <w:tc>
          <w:tcPr>
            <w:tcW w:type="dxa" w:w="4320"/>
          </w:tcPr>
          <w:p>
            <w:r>
              <w:t>docs/acceptance/step6-round27/</w:t>
            </w:r>
          </w:p>
        </w:tc>
        <w:tc>
          <w:tcPr>
            <w:tcW w:type="dxa" w:w="4320"/>
          </w:tcPr>
          <w:p>
            <w:r>
              <w:t>本轮新做的运行证据</w:t>
            </w:r>
          </w:p>
        </w:tc>
      </w:tr>
      <w:tr>
        <w:tc>
          <w:tcPr>
            <w:tcW w:type="dxa" w:w="4320"/>
          </w:tcPr>
          <w:p>
            <w:r>
              <w:t>docs/acceptance/step6-round26/</w:t>
            </w:r>
          </w:p>
        </w:tc>
        <w:tc>
          <w:tcPr>
            <w:tcW w:type="dxa" w:w="4320"/>
          </w:tcPr>
          <w:p>
            <w:r>
              <w:t>既有真实完整路径和语言待审核样例，未冒充本轮新结果</w:t>
            </w:r>
          </w:p>
        </w:tc>
      </w:tr>
    </w:tbl>
    <w:p>
      <w:r>
        <w:t>云环境 start_skill 已追加端口占用诊断与已验证的 4184 启动步骤，保留安装脚本、网络限制、绑定的 Secret。保存的是草稿，不代表生效／发布；如需后续云任务使用，在环境设置审核、保存并发布。无需等待此操作才能下载本轮项目。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第27次交付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