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第27次交付：Preview 能力核查与内部体验部署操作</w:t>
      </w:r>
    </w:p>
    <w:p>
      <w:r>
        <w:t>日期：2026-10-13（UTC+8）。原始附件标题“第25次反馈”，保留原件，不覆盖既有第25／26次交付。本轮将附件的部署建议转化为能力核查、最小部署决策、研究者操作清单与本轮实测证据。</w:t>
      </w:r>
    </w:p>
    <w:p>
      <w:pPr>
        <w:pStyle w:val="Heading2"/>
      </w:pPr>
      <w:r>
        <w:t>给 GPT 的反馈</w:t>
      </w:r>
    </w:p>
    <w:p>
      <w:r>
        <w:t>本轮没有扩展功能，没有改变实验逻辑、Prompt、Model Adapter、冻结 mentor-test-v1、数据库迁移、前端、部署脚本或依赖。沿用用户此前“暂未准备部署目标，先交付部署包与最短操作步骤”的明确选择。已经确定最小路线：独立 Linux VM（具体操作以 DigitalOcean Droplet 举例）+ 自有测试域名 + Caddy HTTPS + 原 Node 服务 + 同机 PostgreSQL 专用持久化卷，不继续等待自动生成 Preview 链接。</w:t>
      </w:r>
    </w:p>
    <w:p>
      <w:r>
        <w:t>当前会话提供的工具没有发布 Preview URL／部署应用的能力；没有已配置 STAGING_HOST、STAGING_DOMAIN 或部署授权凭据。没有本轮可共享的临时 HTTPS 地址。这是本会话的能力边界，不能推断所有 Codex 产品都不支持预览。工作目录和自建 PostgreSQL 均可用，但不是长期托管存储或平台内置的受管数据库，不能承诺跨任务永久保存。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事项</w:t>
            </w:r>
          </w:p>
        </w:tc>
        <w:tc>
          <w:tcPr>
            <w:tcW w:type="dxa" w:w="4320"/>
          </w:tcPr>
          <w:p>
            <w:r>
              <w:t>已完成与剩余动作</w:t>
            </w:r>
          </w:p>
        </w:tc>
      </w:tr>
      <w:tr>
        <w:tc>
          <w:tcPr>
            <w:tcW w:type="dxa" w:w="4320"/>
          </w:tcPr>
          <w:p>
            <w:r>
              <w:t>Step 1：核查直接 Preview</w:t>
            </w:r>
          </w:p>
        </w:tc>
        <w:tc>
          <w:tcPr>
            <w:tcW w:type="dxa" w:w="4320"/>
          </w:tcPr>
          <w:p>
            <w:r>
              <w:t>已核查，本会话没有可调用发布能力或已有外部地址</w:t>
            </w:r>
          </w:p>
        </w:tc>
      </w:tr>
      <w:tr>
        <w:tc>
          <w:tcPr>
            <w:tcW w:type="dxa" w:w="4320"/>
          </w:tcPr>
          <w:p>
            <w:r>
              <w:t>Step 2：确定需要申请的服务</w:t>
            </w:r>
          </w:p>
        </w:tc>
        <w:tc>
          <w:tcPr>
            <w:tcW w:type="dxa" w:w="4320"/>
          </w:tcPr>
          <w:p>
            <w:r>
              <w:t>已明确：独立 VM、测试域名／子域名、服务器专用 Secret、SSH 与访问权限</w:t>
            </w:r>
          </w:p>
        </w:tc>
      </w:tr>
      <w:tr>
        <w:tc>
          <w:tcPr>
            <w:tcW w:type="dxa" w:w="4320"/>
          </w:tcPr>
          <w:p>
            <w:r>
              <w:t>Step 3：最小部署</w:t>
            </w:r>
          </w:p>
        </w:tc>
        <w:tc>
          <w:tcPr>
            <w:tcW w:type="dxa" w:w="4320"/>
          </w:tcPr>
          <w:p>
            <w:r>
              <w:t>内部实例启动、登录、完整导出已验证；目标服务器的公网 URL／TLS 尚未执行</w:t>
            </w:r>
          </w:p>
        </w:tc>
      </w:tr>
      <w:tr>
        <w:tc>
          <w:tcPr>
            <w:tcW w:type="dxa" w:w="4320"/>
          </w:tcPr>
          <w:p>
            <w:r>
              <w:t>Step 4：研究者非脚本体验</w:t>
            </w:r>
          </w:p>
        </w:tc>
        <w:tc>
          <w:tcPr>
            <w:tcW w:type="dxa" w:w="4320"/>
          </w:tcPr>
          <w:p>
            <w:r>
              <w:t>仍待外部入口及本人完成，不以脚本替代</w:t>
            </w:r>
          </w:p>
        </w:tc>
      </w:tr>
    </w:tbl>
    <w:p>
      <w:r>
        <w:t>具体申请入口、用户与运维责任、安全影响、服务器命令、版本冻结、外部验收表已写入 docs/preview-deployment-operations.md 与同名 Word。已有 deploy 模板与维护工具直接复用，不创建新的实验系统。</w:t>
      </w:r>
    </w:p>
    <w:p>
      <w:pPr>
        <w:pStyle w:val="Heading2"/>
      </w:pPr>
      <w:r>
        <w:t>本轮新做的验收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实际结果</w:t>
            </w:r>
          </w:p>
        </w:tc>
      </w:tr>
      <w:tr>
        <w:tc>
          <w:tcPr>
            <w:tcW w:type="dxa" w:w="4320"/>
          </w:tcPr>
          <w:p>
            <w:r>
              <w:t>构建</w:t>
            </w:r>
          </w:p>
        </w:tc>
        <w:tc>
          <w:tcPr>
            <w:tcW w:type="dxa" w:w="4320"/>
          </w:tcPr>
          <w:p>
            <w:r>
              <w:t>npm run build 退出 0</w:t>
            </w:r>
          </w:p>
        </w:tc>
      </w:tr>
      <w:tr>
        <w:tc>
          <w:tcPr>
            <w:tcW w:type="dxa" w:w="4320"/>
          </w:tcPr>
          <w:p>
            <w:r>
              <w:t>既有浏览器回归</w:t>
            </w:r>
          </w:p>
        </w:tc>
        <w:tc>
          <w:tcPr>
            <w:tcW w:type="dxa" w:w="4320"/>
          </w:tcPr>
          <w:p>
            <w:r>
              <w:t>npm run test:browser 18 项通过，使用本地模型 fixture，无外部调用</w:t>
            </w:r>
          </w:p>
        </w:tc>
      </w:tr>
      <w:tr>
        <w:tc>
          <w:tcPr>
            <w:tcW w:type="dxa" w:w="4320"/>
          </w:tcPr>
          <w:p>
            <w:r>
              <w:t>当前内部实例</w:t>
            </w:r>
          </w:p>
        </w:tc>
        <w:tc>
          <w:tcPr>
            <w:tcW w:type="dxa" w:w="4320"/>
          </w:tcPr>
          <w:p>
            <w:r>
              <w:t>11 项运行检查通过，三个 R001 固定账号登录，HTML／JS 正常，管理员访问隔离</w:t>
            </w:r>
          </w:p>
        </w:tc>
      </w:tr>
      <w:tr>
        <w:tc>
          <w:tcPr>
            <w:tcW w:type="dxa" w:w="4320"/>
          </w:tcPr>
          <w:p>
            <w:r>
              <w:t>当前完整导出</w:t>
            </w:r>
          </w:p>
        </w:tc>
        <w:tc>
          <w:tcPr>
            <w:tcW w:type="dxa" w:w="4320"/>
          </w:tcPr>
          <w:p>
            <w:r>
              <w:t>complete=true、per_table_limit=null，八项完整性异常计数为零</w:t>
            </w:r>
          </w:p>
        </w:tc>
      </w:tr>
      <w:tr>
        <w:tc>
          <w:tcPr>
            <w:tcW w:type="dxa" w:w="4320"/>
          </w:tcPr>
          <w:p>
            <w:r>
              <w:t>状态与记录</w:t>
            </w:r>
          </w:p>
        </w:tc>
        <w:tc>
          <w:tcPr>
            <w:tcW w:type="dxa" w:w="4320"/>
          </w:tcPr>
          <w:p>
            <w:r>
              <w:t>登录／查询前后的状态、消息、迁移、变量、turn、run 快照哈希一致，三个 R001 仍未聊天</w:t>
            </w:r>
          </w:p>
        </w:tc>
      </w:tr>
      <w:tr>
        <w:tc>
          <w:tcPr>
            <w:tcW w:type="dxa" w:w="4320"/>
          </w:tcPr>
          <w:p>
            <w:r>
              <w:t>单次 DeepSeek smoke</w:t>
            </w:r>
          </w:p>
        </w:tc>
        <w:tc>
          <w:tcPr>
            <w:tcW w:type="dxa" w:w="4320"/>
          </w:tcPr>
          <w:p>
            <w:r>
              <w:t>1 次实际请求，HTTP 200，返回 deepseek-flash，总响应 1082.79ms</w:t>
            </w:r>
          </w:p>
        </w:tc>
      </w:tr>
      <w:tr>
        <w:tc>
          <w:tcPr>
            <w:tcW w:type="dxa" w:w="4320"/>
          </w:tcPr>
          <w:p>
            <w:r>
              <w:t>真实完整路径</w:t>
            </w:r>
          </w:p>
        </w:tc>
        <w:tc>
          <w:tcPr>
            <w:tcW w:type="dxa" w:w="4320"/>
          </w:tcPr>
          <w:p>
            <w:r>
              <w:t>本轮未重复；第26次已有三条真实浏览器合成链路，保留其原证据</w:t>
            </w:r>
          </w:p>
        </w:tc>
      </w:tr>
      <w:tr>
        <w:tc>
          <w:tcPr>
            <w:tcW w:type="dxa" w:w="4320"/>
          </w:tcPr>
          <w:p>
            <w:r>
              <w:t>外部服务器／TLS／systemd</w:t>
            </w:r>
          </w:p>
        </w:tc>
        <w:tc>
          <w:tcPr>
            <w:tcW w:type="dxa" w:w="4320"/>
          </w:tcPr>
          <w:p>
            <w:r>
              <w:t>not_run，不写部署通过</w:t>
            </w:r>
          </w:p>
        </w:tc>
      </w:tr>
      <w:tr>
        <w:tc>
          <w:tcPr>
            <w:tcW w:type="dxa" w:w="4320"/>
          </w:tcPr>
          <w:p>
            <w:r>
              <w:t>人工自由体验与六维审核</w:t>
            </w:r>
          </w:p>
        </w:tc>
        <w:tc>
          <w:tcPr>
            <w:tcW w:type="dxa" w:w="4320"/>
          </w:tcPr>
          <w:p>
            <w:r>
              <w:t>not_run／pending，不补造评分</w:t>
            </w:r>
          </w:p>
        </w:tc>
      </w:tr>
    </w:tbl>
    <w:p>
      <w:r>
        <w:t>4173 首次启动遇到已有监听，保留原进程，按已有运行参数改用 4184 完成内部验证。没有修改应用端口代码。单次 smoke 与数据库／状态机无连接，不是实验语义验收；非流式协议没有首 token 测量，总响应时间不得称为 TTFT。</w:t>
      </w:r>
    </w:p>
    <w:p>
      <w:pPr>
        <w:pStyle w:val="Heading2"/>
      </w:pPr>
      <w:r>
        <w:t>风险与放行</w:t>
      </w:r>
    </w:p>
    <w:p>
      <w:r>
        <w:t>研究者目前仍不能凭 GitHub ZIP 直接打开一个已经托管的实验网址；ZIP 是源码和部署材料，不是正在运行的服务器。最低外部动作是：注册并创建独立 VM、设置测试 DNS、在服务器安全注入实际 DeepSeek Secret，随后由运维按步骤安装并从另一台设备验证 HTTPS、登录、三条流程及导出。</w:t>
      </w:r>
    </w:p>
    <w:p>
      <w:r>
        <w:t>认知路径第26次的 9 次重试／8 轮兜底仍是待审核风险，没有通过本轮部署文档消除。三个非脚本体验和同会话人工六维审核、A／主要 B 问题整改复验、研究者签署仍未完成。researcher_external_access_ready=false；mentor_test_ready=false；formal_ready=false。</w:t>
      </w:r>
    </w:p>
    <w:p>
      <w:pPr>
        <w:pStyle w:val="Heading2"/>
      </w:pPr>
      <w:r>
        <w:t>打包</w:t>
      </w:r>
    </w:p>
    <w:p>
      <w:r>
        <w:t>整个项目 ZIP 包含本轮给 GPT 的反馈、验收报告、详细部署操作 Word／Markdown、原附件、本轮 build／浏览器／真实 smoke／内部导出检查，以及此前完整代码和第26次验收样例。模型密钥、可用账号密码、admin_token、数据库凭据和运行私有目录不进 GitHub。新部署必须读取其自行生成的账号，而非使用样例 UUID。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第27次交付 · 导师门禁未放行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