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第27次反馈：推进可公网访问的多人在线研究平台</w:t>
      </w:r>
    </w:p>
    <w:p>
      <w:pPr>
        <w:jc w:val="center"/>
      </w:pPr>
      <w:r>
        <w:rPr>
          <w:b/>
        </w:rPr>
        <w:t>核心目标：通过网址直接访问，参与者无需安装软件；至少支持30人同时作答</w:t>
      </w:r>
    </w:p>
    <w:p>
      <w:pPr>
        <w:pStyle w:val="Heading1"/>
      </w:pPr>
      <w:r>
        <w:t>一、当前状态与本轮方向</w:t>
      </w:r>
    </w:p>
    <w:p>
      <w:pPr>
        <w:spacing w:after="120"/>
      </w:pPr>
      <w:r>
        <w:t>最新项目包已经具备完整的前后端、PostgreSQL业务数据层、DeepSeek Flash接入、Participant/Admin页面、完整JSON导出以及Windows本地Researcher Preview。当前自动化基线为448项Vitest + 18项Playwright，共466项通过。现有内部验证能够完成登录、状态恢复、导出和数据一致性检查。</w:t>
      </w:r>
    </w:p>
    <w:p>
      <w:pPr>
        <w:spacing w:after="120"/>
      </w:pPr>
      <w:r>
        <w:t>但当前仍没有公网访问地址；最新验收中的 external_url=null，外部部署尚未完成。现有本地版本可以继续用于调试和故障排查，但不再作为最终研究平台的主要交付方式。</w:t>
      </w:r>
    </w:p>
    <w:p>
      <w:pPr>
        <w:spacing w:after="120"/>
      </w:pPr>
      <w:r>
        <w:t>研究目标现明确为：研究者获得一个稳定HTTPS网址，可直接复制链接给参与者；参与者只需要浏览器，不安装Node、Docker或任何App；平台至少支持30名参与者在同一时段同时作答。</w:t>
      </w:r>
    </w:p>
    <w:p>
      <w:pPr>
        <w:pStyle w:val="Heading1"/>
      </w:pPr>
      <w:r>
        <w:t>二、部署策略调整：优先“托管平台”，自建VM仅作为最后备选</w:t>
      </w:r>
    </w:p>
    <w:p>
      <w:pPr>
        <w:spacing w:after="120"/>
      </w:pPr>
      <w:r>
        <w:t>此前独立Linux VM + 域名 + Caddy方案技术上可行，但研究者不希望自行购买、维护服务器。请本轮重新评估部署路线，并按以下优先顺序执行。</w:t>
      </w:r>
    </w:p>
    <w:p>
      <w:pPr>
        <w:pStyle w:val="ListNumber"/>
        <w:spacing w:after="60"/>
      </w:pPr>
      <w:r>
        <w:t>先检查当前Codex/ChatGPT环境是否存在可以直接发布本项目的Site、Preview或Deployment能力。只有在能够提供外部参与者访问、持久化数据库、Secret、安全HTTPS和30人并发的前提下才采用。不要把只供Codex任务运行的临时环境当作正式托管。</w:t>
      </w:r>
    </w:p>
    <w:p>
      <w:pPr>
        <w:pStyle w:val="ListNumber"/>
        <w:spacing w:after="60"/>
      </w:pPr>
      <w:r>
        <w:t>如果Codex本身不能长期托管，优先采用“无需研究者管理服务器”的托管PaaS。请结合当前React + Express + PostgreSQL架构选择一个最少改代码的方案，而不是同时给出多套复杂选项。可评估Render、Railway、Cloud Run等；选择后说明为什么它最适合当前仓库。</w:t>
      </w:r>
    </w:p>
    <w:p>
      <w:pPr>
        <w:pStyle w:val="ListNumber"/>
        <w:spacing w:after="60"/>
      </w:pPr>
      <w:r>
        <w:t>只有在托管PaaS无法满足研究数据持久化、Secret、并发或成本要求时，才回到独立VM方案。不要默认要求研究者购买DigitalOcean Droplet。</w:t>
      </w:r>
    </w:p>
    <w:p>
      <w:pPr>
        <w:spacing w:after="120"/>
      </w:pPr>
      <w:r>
        <w:t>原则：允许研究者注册一个托管平台账号、连接GitHub、添加Secret并点击部署；不要求研究者学习Linux运维、SSH、Caddy、Docker命令或长期维护服务器。</w:t>
      </w:r>
    </w:p>
    <w:p>
      <w:pPr>
        <w:pStyle w:val="Heading1"/>
      </w:pPr>
      <w:r>
        <w:t>三、优先保持现有架构，不为了部署重写实验系统</w:t>
      </w:r>
    </w:p>
    <w:p>
      <w:pPr>
        <w:spacing w:after="120"/>
      </w:pPr>
      <w:r>
        <w:t>当前实验状态机、AI Orchestrator、Validator、Model Adapter、mentor-test-v1研究参数和PostgreSQL业务结构已经经过大量回归测试。线上化应优先“包装并部署现有系统”，而不是改写实验逻辑。</w:t>
      </w:r>
    </w:p>
    <w:p>
      <w:pPr>
        <w:pStyle w:val="ListBullet"/>
        <w:spacing w:after="60"/>
      </w:pPr>
      <w:r>
        <w:t>优先考虑把React构建结果与Express API通过同一公网域名提供，减少跨域、Cookie/Session和多服务配置。</w:t>
      </w:r>
    </w:p>
    <w:p>
      <w:pPr>
        <w:pStyle w:val="ListBullet"/>
        <w:spacing w:after="60"/>
      </w:pPr>
      <w:r>
        <w:t>数据库应使用持久化PostgreSQL；不能依赖Codex任务磁盘、临时容器或浏览器本地存储保存正式实验数据。</w:t>
      </w:r>
    </w:p>
    <w:p>
      <w:pPr>
        <w:pStyle w:val="ListBullet"/>
        <w:spacing w:after="60"/>
      </w:pPr>
      <w:r>
        <w:t>DEEPSEEK_API_KEY、数据库凭据、管理员凭据必须使用部署平台Secret，不进入GitHub、前端Bundle、日志或导出文件。</w:t>
      </w:r>
    </w:p>
    <w:p>
      <w:pPr>
        <w:pStyle w:val="ListBullet"/>
        <w:spacing w:after="60"/>
      </w:pPr>
      <w:r>
        <w:t>管理员页面必须受权限保护；参与者不能查看state、prompt、validator、模型日志或其他参与者数据。</w:t>
      </w:r>
    </w:p>
    <w:p>
      <w:pPr>
        <w:pStyle w:val="Heading1"/>
      </w:pPr>
      <w:r>
        <w:t>四、本轮需要Codex先完成的“线上部署可行性验证”</w:t>
      </w:r>
    </w:p>
    <w:p>
      <w:pPr>
        <w:spacing w:after="120"/>
      </w:pPr>
      <w:r>
        <w:t>请先做技术验证和最小部署配置，不要先重做页面。</w:t>
      </w:r>
    </w:p>
    <w:p>
      <w:pPr>
        <w:pStyle w:val="ListNumber"/>
        <w:spacing w:after="60"/>
      </w:pPr>
      <w:r>
        <w:t>检查仓库能否以单个Web Service + PostgreSQL方式部署，并列出当前阻塞项。</w:t>
      </w:r>
    </w:p>
    <w:p>
      <w:pPr>
        <w:pStyle w:val="ListNumber"/>
        <w:spacing w:after="60"/>
      </w:pPr>
      <w:r>
        <w:t>如需Dockerfile、平台配置文件、health check、启动命令或静态文件托管配置，请在不修改实验逻辑的前提下补齐。</w:t>
      </w:r>
    </w:p>
    <w:p>
      <w:pPr>
        <w:pStyle w:val="ListNumber"/>
        <w:spacing w:after="60"/>
      </w:pPr>
      <w:r>
        <w:t>准备一套“从GitHub到线上网址”的最短流程，目标是研究者只完成少量授权/填写Secret操作。</w:t>
      </w:r>
    </w:p>
    <w:p>
      <w:pPr>
        <w:pStyle w:val="ListNumber"/>
        <w:spacing w:after="60"/>
      </w:pPr>
      <w:r>
        <w:t>如果当前Codex界面存在可直接部署或Site发布能力，请优先实际尝试，并报告是否支持外部匿名/账号参与者访问，而不是仅供本人或workspace内部访问。</w:t>
      </w:r>
    </w:p>
    <w:p>
      <w:pPr>
        <w:pStyle w:val="ListNumber"/>
        <w:spacing w:after="60"/>
      </w:pPr>
      <w:r>
        <w:t>如必须接入第三方托管平台，请明确只推荐一个首选方案，并列出研究者需要手动操作的具体步骤。</w:t>
      </w:r>
    </w:p>
    <w:p>
      <w:pPr>
        <w:pStyle w:val="Heading1"/>
      </w:pPr>
      <w:r>
        <w:t>五、30人同时作答是新的硬性验收指标</w:t>
      </w:r>
    </w:p>
    <w:p>
      <w:pPr>
        <w:spacing w:after="120"/>
      </w:pPr>
      <w:r>
        <w:t>此前已有的6人并发等工程测试不足以证明30人同时作答能力。本轮需新增30并发专项验证。</w:t>
      </w:r>
    </w:p>
    <w:p>
      <w:pPr>
        <w:pStyle w:val="ListBullet"/>
        <w:spacing w:after="60"/>
      </w:pPr>
      <w:r>
        <w:t>至少模拟30个彼此独立的participant/session同时在线，三条路径混合分配。</w:t>
      </w:r>
    </w:p>
    <w:p>
      <w:pPr>
        <w:pStyle w:val="ListBullet"/>
        <w:spacing w:after="60"/>
      </w:pPr>
      <w:r>
        <w:t>模拟每个参与者连续发送多轮消息，而不是只做一次health请求。</w:t>
      </w:r>
    </w:p>
    <w:p>
      <w:pPr>
        <w:pStyle w:val="ListBullet"/>
        <w:spacing w:after="60"/>
      </w:pPr>
      <w:r>
        <w:t>检查跨用户数据隔离、state不串线、变量不串线、重复请求幂等、数据库连接池和写入完整性。</w:t>
      </w:r>
    </w:p>
    <w:p>
      <w:pPr>
        <w:pStyle w:val="ListBullet"/>
        <w:spacing w:after="60"/>
      </w:pPr>
      <w:r>
        <w:t>记录成功率、错误率、HTTP 429/5xx、P50/P95/max端到端响应时间、模型重试、fallback、数据库错误和客户端超时。</w:t>
      </w:r>
    </w:p>
    <w:p>
      <w:pPr>
        <w:pStyle w:val="ListBullet"/>
        <w:spacing w:after="60"/>
      </w:pPr>
      <w:r>
        <w:t>先用Mock/fixture做30并发工程压力测试。真实DeepSeek 30并发调用可能产生费用和供应商限流，在执行付费真实并发测试前先报告预计请求量/成本并取得研究者确认。</w:t>
      </w:r>
    </w:p>
    <w:p>
      <w:pPr>
        <w:spacing w:after="120"/>
      </w:pPr>
      <w:r>
        <w:t>建议容量目标不是“刚好30人不报错”，而是30人同时作答时仍有明显余量。若方便，可在不增加太多成本的情况下用40–50个合成会话进行工程层压力测试。</w:t>
      </w:r>
    </w:p>
    <w:p>
      <w:pPr>
        <w:pStyle w:val="Heading1"/>
      </w:pPr>
      <w:r>
        <w:t>六、线上体验版必须具备的最低功能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t>功能</w:t>
            </w:r>
          </w:p>
        </w:tc>
        <w:tc>
          <w:tcPr>
            <w:tcW w:type="dxa" w:w="4873"/>
            <w:vAlign w:val="center"/>
          </w:tcPr>
          <w:p>
            <w:r>
              <w:t>最低要求</w:t>
            </w:r>
          </w:p>
        </w:tc>
      </w:tr>
      <w:tr>
        <w:tc>
          <w:tcPr>
            <w:tcW w:type="dxa" w:w="4873"/>
            <w:vAlign w:val="center"/>
          </w:tcPr>
          <w:p>
            <w:r>
              <w:t>公网HTTPS网址</w:t>
            </w:r>
          </w:p>
        </w:tc>
        <w:tc>
          <w:tcPr>
            <w:tcW w:type="dxa" w:w="4873"/>
            <w:vAlign w:val="center"/>
          </w:tcPr>
          <w:p>
            <w:r>
              <w:t>研究者复制链接即可发给测试者；不依赖研究者电脑保持开机。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参与者登录/进入</w:t>
            </w:r>
          </w:p>
        </w:tc>
        <w:tc>
          <w:tcPr>
            <w:tcW w:type="dxa" w:w="4873"/>
            <w:vAlign w:val="center"/>
          </w:tcPr>
          <w:p>
            <w:r>
              <w:t>使用participant ID + 密码或受控邀请方式；不同参与者数据隔离。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三条实验路径</w:t>
            </w:r>
          </w:p>
        </w:tc>
        <w:tc>
          <w:tcPr>
            <w:tcW w:type="dxa" w:w="4873"/>
            <w:vAlign w:val="center"/>
          </w:tcPr>
          <w:p>
            <w:r>
              <w:t>认知、情感、日常/中性路径均使用真实DeepSeek和冻结研究参数。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评分组件</w:t>
            </w:r>
          </w:p>
        </w:tc>
        <w:tc>
          <w:tcPr>
            <w:tcW w:type="dxa" w:w="4873"/>
            <w:vAlign w:val="center"/>
          </w:tcPr>
          <w:p>
            <w:r>
              <w:t>认知路径两次评分均为统一0–100评分卡，不允许文字替代。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断线恢复</w:t>
            </w:r>
          </w:p>
        </w:tc>
        <w:tc>
          <w:tcPr>
            <w:tcW w:type="dxa" w:w="4873"/>
            <w:vAlign w:val="center"/>
          </w:tcPr>
          <w:p>
            <w:r>
              <w:t>刷新、短暂断网、重新登录后能够回到原会话。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持久化</w:t>
            </w:r>
          </w:p>
        </w:tc>
        <w:tc>
          <w:tcPr>
            <w:tcW w:type="dxa" w:w="4873"/>
            <w:vAlign w:val="center"/>
          </w:tcPr>
          <w:p>
            <w:r>
              <w:t>消息、state、variable、model run、版本均写入PostgreSQL。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管理员</w:t>
            </w:r>
          </w:p>
        </w:tc>
        <w:tc>
          <w:tcPr>
            <w:tcW w:type="dxa" w:w="4873"/>
            <w:vAlign w:val="center"/>
          </w:tcPr>
          <w:p>
            <w:r>
              <w:t>可查看参与者状态、对话、异常，并下载complete=true完整JSON。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安全</w:t>
            </w:r>
          </w:p>
        </w:tc>
        <w:tc>
          <w:tcPr>
            <w:tcW w:type="dxa" w:w="4873"/>
            <w:vAlign w:val="center"/>
          </w:tcPr>
          <w:p>
            <w:r>
              <w:t>参与者看不到后台诊断、Secret和其他人的数据。</w:t>
            </w:r>
          </w:p>
        </w:tc>
      </w:tr>
    </w:tbl>
    <w:p>
      <w:pPr>
        <w:pStyle w:val="Heading1"/>
      </w:pPr>
      <w:r>
        <w:t>七、建议的放行顺序</w:t>
      </w:r>
    </w:p>
    <w:p>
      <w:pPr>
        <w:pStyle w:val="ListNumber"/>
        <w:spacing w:after="60"/>
      </w:pPr>
      <w:r>
        <w:t>线上Staging URL建立后，先由研究者本人完成认知、情感、日常三条非脚本真实会话。</w:t>
      </w:r>
    </w:p>
    <w:p>
      <w:pPr>
        <w:pStyle w:val="ListNumber"/>
        <w:spacing w:after="60"/>
      </w:pPr>
      <w:r>
        <w:t>同一批真实会话进行人工语言审核，优先修复A类问题和主要B类问题。</w:t>
      </w:r>
    </w:p>
    <w:p>
      <w:pPr>
        <w:pStyle w:val="ListNumber"/>
        <w:spacing w:after="60"/>
      </w:pPr>
      <w:r>
        <w:t>再安排3–5名熟悉研究的内部测试者从不同设备访问，检查登录、并发、断线恢复和数据导出。</w:t>
      </w:r>
    </w:p>
    <w:p>
      <w:pPr>
        <w:pStyle w:val="ListNumber"/>
        <w:spacing w:after="60"/>
      </w:pPr>
      <w:r>
        <w:t>通过30并发工程测试，并在获得研究者确认后进行必要的真实DeepSeek并发验证。</w:t>
      </w:r>
    </w:p>
    <w:p>
      <w:pPr>
        <w:pStyle w:val="ListNumber"/>
        <w:spacing w:after="60"/>
      </w:pPr>
      <w:r>
        <w:t>完成后再将链接交给导师；导师候选版通过后冻结版本，随后准备正式招募。</w:t>
      </w:r>
    </w:p>
    <w:p>
      <w:pPr>
        <w:pStyle w:val="Heading1"/>
      </w:pPr>
      <w:r>
        <w:t>八、需要研究者手动操作的范围要尽量压缩</w:t>
      </w:r>
    </w:p>
    <w:p>
      <w:pPr>
        <w:spacing w:after="120"/>
      </w:pPr>
      <w:r>
        <w:t>本轮请Codex明确区分“必须由研究者授权/填写”的步骤与“Codex可直接完成”的步骤。研究者可接受的手动动作包括：</w:t>
      </w:r>
    </w:p>
    <w:p>
      <w:pPr>
        <w:pStyle w:val="ListBullet"/>
        <w:spacing w:after="60"/>
      </w:pPr>
      <w:r>
        <w:t>在选定托管平台创建账号或使用GitHub登录；</w:t>
      </w:r>
    </w:p>
    <w:p>
      <w:pPr>
        <w:pStyle w:val="ListBullet"/>
        <w:spacing w:after="60"/>
      </w:pPr>
      <w:r>
        <w:t>授权该平台读取指定GitHub仓库；</w:t>
      </w:r>
    </w:p>
    <w:p>
      <w:pPr>
        <w:pStyle w:val="ListBullet"/>
        <w:spacing w:after="60"/>
      </w:pPr>
      <w:r>
        <w:t>在Secret界面手动填写DEEPSEEK_API_KEY等敏感值；</w:t>
      </w:r>
    </w:p>
    <w:p>
      <w:pPr>
        <w:pStyle w:val="ListBullet"/>
        <w:spacing w:after="60"/>
      </w:pPr>
      <w:r>
        <w:t>如果免费/试用资源不足30并发，确认是否升级到最低必要套餐。</w:t>
      </w:r>
    </w:p>
    <w:p>
      <w:pPr>
        <w:spacing w:after="120"/>
      </w:pPr>
      <w:r>
        <w:t>除此之外，构建配置、部署文件、数据库迁移、启动命令、health check、静态资源与API同域配置、测试账号生成和验收脚本应尽量由Codex准备完成。</w:t>
      </w:r>
    </w:p>
    <w:p>
      <w:pPr>
        <w:pStyle w:val="Heading1"/>
      </w:pPr>
      <w:r>
        <w:t>九、本轮禁止事项</w:t>
      </w:r>
    </w:p>
    <w:p>
      <w:pPr>
        <w:pStyle w:val="ListBullet"/>
        <w:spacing w:after="60"/>
      </w:pPr>
      <w:r>
        <w:t>不要把Windows本地Preview继续当作最终方案。</w:t>
      </w:r>
    </w:p>
    <w:p>
      <w:pPr>
        <w:pStyle w:val="ListBullet"/>
        <w:spacing w:after="60"/>
      </w:pPr>
      <w:r>
        <w:t>不要为了上线重写状态机、Prompt体系或数据库结构。</w:t>
      </w:r>
    </w:p>
    <w:p>
      <w:pPr>
        <w:pStyle w:val="ListBullet"/>
        <w:spacing w:after="60"/>
      </w:pPr>
      <w:r>
        <w:t>不要为了“网站好看”投入主要时间；当前只需清晰、稳定、可完成实验。</w:t>
      </w:r>
    </w:p>
    <w:p>
      <w:pPr>
        <w:pStyle w:val="ListBullet"/>
        <w:spacing w:after="60"/>
      </w:pPr>
      <w:r>
        <w:t>不要用Codex临时任务存储代替长期数据库。</w:t>
      </w:r>
    </w:p>
    <w:p>
      <w:pPr>
        <w:pStyle w:val="ListBullet"/>
        <w:spacing w:after="60"/>
      </w:pPr>
      <w:r>
        <w:t>不要在未经说明的情况下要求研究者购买服务器。</w:t>
      </w:r>
    </w:p>
    <w:p>
      <w:pPr>
        <w:pStyle w:val="ListBullet"/>
        <w:spacing w:after="60"/>
      </w:pPr>
      <w:r>
        <w:t>不要把内部测试通过等同于30人线上并发通过。</w:t>
      </w:r>
    </w:p>
    <w:p>
      <w:pPr>
        <w:pStyle w:val="Heading1"/>
      </w:pPr>
      <w:r>
        <w:t>十、本轮完成后请返回</w:t>
      </w:r>
    </w:p>
    <w:p>
      <w:pPr>
        <w:pStyle w:val="ListNumber"/>
        <w:spacing w:after="60"/>
      </w:pPr>
      <w:r>
        <w:t>是否存在可直接使用的Codex/ChatGPT托管能力；若有，是否支持外部参与者、长期URL、Secret、持久数据库和30并发。</w:t>
      </w:r>
    </w:p>
    <w:p>
      <w:pPr>
        <w:pStyle w:val="ListNumber"/>
        <w:spacing w:after="60"/>
      </w:pPr>
      <w:r>
        <w:t>若不适合，推荐的唯一首选托管PaaS方案、选择理由及需要研究者手动完成的步骤。</w:t>
      </w:r>
    </w:p>
    <w:p>
      <w:pPr>
        <w:pStyle w:val="ListNumber"/>
        <w:spacing w:after="60"/>
      </w:pPr>
      <w:r>
        <w:t>本仓库为上线新增/修改的文件清单，以及是否触及实验逻辑。</w:t>
      </w:r>
    </w:p>
    <w:p>
      <w:pPr>
        <w:pStyle w:val="ListNumber"/>
        <w:spacing w:after="60"/>
      </w:pPr>
      <w:r>
        <w:t>实际生成的Staging URL；如果因用户授权尚未生成，明确只剩哪一步人工授权。</w:t>
      </w:r>
    </w:p>
    <w:p>
      <w:pPr>
        <w:pStyle w:val="ListNumber"/>
        <w:spacing w:after="60"/>
      </w:pPr>
      <w:r>
        <w:t>30并发Mock/fixture测试结果及容量瓶颈。</w:t>
      </w:r>
    </w:p>
    <w:p>
      <w:pPr>
        <w:pStyle w:val="ListNumber"/>
        <w:spacing w:after="60"/>
      </w:pPr>
      <w:r>
        <w:t>真实DeepSeek并发测试计划、预计请求量/成本/限流风险；未经研究者确认不要自动执行大量付费请求。</w:t>
      </w:r>
    </w:p>
    <w:p>
      <w:pPr>
        <w:pStyle w:val="ListNumber"/>
        <w:spacing w:after="60"/>
      </w:pPr>
      <w:r>
        <w:t>线上数据持久化、重启恢复、完整导出和安全隔离验收结果。</w:t>
      </w:r>
    </w:p>
    <w:p>
      <w:pPr>
        <w:pStyle w:val="ListNumber"/>
        <w:spacing w:after="60"/>
      </w:pPr>
      <w:r>
        <w:t>researcher_online_self_test_ready、mentor_test_ready、formal_ready三个门禁的真实状态。</w:t>
      </w:r>
    </w:p>
    <w:p>
      <w:pPr>
        <w:pStyle w:val="Heading1"/>
      </w:pPr>
      <w:r>
        <w:t>十一、最终产品形态</w:t>
      </w:r>
    </w:p>
    <w:p>
      <w:pPr>
        <w:spacing w:after="120"/>
      </w:pPr>
      <w:r>
        <w:t>最终希望得到的不是一个需要研究者解压ZIP、安装Node/Docker并保持电脑开机的工具，而是一个类似WorkBuddy使用体验的在线研究平台：研究者获得网址和管理入口，参与者打开链接即可完成实验，后台自动保存数据，至少30人可在同一时段独立作答。页面简洁即可，实验流程稳定性和数据可靠性优先于视觉设计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