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30人真实 DeepSeek 并发：执行前预算与批准清单</w:t>
      </w:r>
    </w:p>
    <w:p>
      <w:r>
        <w:t>交付29，2026-10-14。状态 not_run；本轮外部模型调用为0。这里是可审核计划，不是付费测试结果。先完成 Render 上线、本人非脚本体验和3–5设备验证，再根据本计划确认费用。普通安装、启动、npm run check 和 fixture压测不会自动触发真实模型批量调用。</w:t>
      </w:r>
    </w:p>
    <w:p>
      <w:pPr>
        <w:pStyle w:val="Heading2"/>
      </w:pPr>
      <w:r>
        <w:t>固定测试范围</w:t>
      </w:r>
    </w:p>
    <w:p>
      <w:r>
        <w:t>使用全新独立批次30个合成身份，认知/情感/日常各10，六个同步发送波次，每人6轮，180个唯一消息请求；重复请求沿用相同request_id，完成后再回放，必须不额外生成。沿用fixture输入/提交顺序、冻结mentor-test-v1和deepseek-flash配置。该6轮范围验证并发服务和合法阶段推进，不等于三条完整实验完成，也不是人类语言评分。</w:t>
      </w:r>
    </w:p>
    <w:p>
      <w:r>
        <w:t>当前模板规则使10个情感首次设定回复、10个认知初次评分阶段回复无需模型，预计160次正常模型生成；max_attempts=2时理论最多320次外部请求。同一次适配器超时/429后的重试计入该上限，不再另开全局重试。fixture故意注入的2重试/1兜底不作为真实供应商预期值。45人工程余量已离线测过，初轮不自动付费跑45人；45人同样6轮为240次正常生成/最多480请求。</w:t>
      </w:r>
    </w:p>
    <w:p>
      <w:pPr>
        <w:pStyle w:val="Heading2"/>
      </w:pPr>
      <w:r>
        <w:t>Token及费用估算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量</w:t>
            </w:r>
          </w:p>
        </w:tc>
        <w:tc>
          <w:tcPr>
            <w:tcW w:type="dxa" w:w="2880"/>
          </w:tcPr>
          <w:p>
            <w:r>
              <w:t>30人正常160请求</w:t>
            </w:r>
          </w:p>
        </w:tc>
        <w:tc>
          <w:tcPr>
            <w:tcW w:type="dxa" w:w="2880"/>
          </w:tcPr>
          <w:p>
            <w:r>
              <w:t>30人最多320请求</w:t>
            </w:r>
          </w:p>
        </w:tc>
      </w:tr>
      <w:tr>
        <w:tc>
          <w:tcPr>
            <w:tcW w:type="dxa" w:w="2880"/>
          </w:tcPr>
          <w:p>
            <w:r>
              <w:t>输入估算，假定每请求6000 tokens</w:t>
            </w:r>
          </w:p>
        </w:tc>
        <w:tc>
          <w:tcPr>
            <w:tcW w:type="dxa" w:w="2880"/>
          </w:tcPr>
          <w:p>
            <w:r>
              <w:t>960000</w:t>
            </w:r>
          </w:p>
        </w:tc>
        <w:tc>
          <w:tcPr>
            <w:tcW w:type="dxa" w:w="2880"/>
          </w:tcPr>
          <w:p>
            <w:r>
              <w:t>1920000</w:t>
            </w:r>
          </w:p>
        </w:tc>
      </w:tr>
      <w:tr>
        <w:tc>
          <w:tcPr>
            <w:tcW w:type="dxa" w:w="2880"/>
          </w:tcPr>
          <w:p>
            <w:r>
              <w:t>输出上限，每请求max_tokens=512</w:t>
            </w:r>
          </w:p>
        </w:tc>
        <w:tc>
          <w:tcPr>
            <w:tcW w:type="dxa" w:w="2880"/>
          </w:tcPr>
          <w:p>
            <w:r>
              <w:t>81920</w:t>
            </w:r>
          </w:p>
        </w:tc>
        <w:tc>
          <w:tcPr>
            <w:tcW w:type="dxa" w:w="2880"/>
          </w:tcPr>
          <w:p>
            <w:r>
              <w:t>163840</w:t>
            </w:r>
          </w:p>
        </w:tc>
      </w:tr>
      <w:tr>
        <w:tc>
          <w:tcPr>
            <w:tcW w:type="dxa" w:w="2880"/>
          </w:tcPr>
          <w:p>
            <w:r>
              <w:t>费用，忽略缓存折扣</w:t>
            </w:r>
          </w:p>
        </w:tc>
        <w:tc>
          <w:tcPr>
            <w:tcW w:type="dxa" w:w="2880"/>
          </w:tcPr>
          <w:p>
            <w:r>
              <w:t>0.96×Pin＋0.08192×Pout</w:t>
            </w:r>
          </w:p>
        </w:tc>
        <w:tc>
          <w:tcPr>
            <w:tcW w:type="dxa" w:w="2880"/>
          </w:tcPr>
          <w:p>
            <w:r>
              <w:t>1.92×Pin＋0.16384×Pout</w:t>
            </w:r>
          </w:p>
        </w:tc>
      </w:tr>
    </w:tbl>
    <w:p>
      <w:r>
        <w:t>Pin、Pout 是账户实际 deepseek-flash 每百万输入/输出token单价，单位按供应商账单。当前未取得此账户有效报价，不能给虚构人民币金额；代入控制台价目后确认。6000输入tokens是规划假定，不是程序硬上限；Prompt历史增长、分词和实际返回usage可能改变输入量。运行前对本测试集现有Prompt尺寸核对并在供应商账户设置可接受余额/消费限额，最终以实际账单核对。模型预算不含 Render 的Web、数据库等订阅费用。</w:t>
      </w:r>
    </w:p>
    <w:p>
      <w:r>
        <w:t>需研究者明确授权的内容：上线测试地址与隔离批次、允许最多320个真实请求、采用的单价和估算金额、批准金额上限及测试时段。未经这些确认不执行。限额若小于整套，先批准少量试跑后重新估算，不重复一整套掩盖429或费用问题。</w:t>
      </w:r>
    </w:p>
    <w:p>
      <w:pPr>
        <w:pStyle w:val="Heading2"/>
      </w:pPr>
      <w:r>
        <w:t>执行前与停止条件</w:t>
      </w:r>
    </w:p>
    <w:p>
      <w:r>
        <w:t>先确认实际可用Flash模型、账户并发/RPM/TPM限制和服务器Secret有效；不把Codex代理Secret替代服务器真实密钥。六波中模型同时活跃峰值可达30；若额度不足，先申请额度或明确排队策略，不能把fixture200ms当供应商延迟。管理员一次性保存代码提交、Prompt版本、参数/模板哈希及批次清单。</w:t>
      </w:r>
    </w:p>
    <w:p>
      <w:r>
        <w:t>失败授权、预算耗尽、连续429/5xx、连接池持续超时或数据隔离失败时停止继续发新波次，保留已写记录，不删除失败记录重跑。不要自动上调重试、模型参数或更改状态机来追求通过。线上HTTP驱动如需另开发真实运行器，应增加明确预算/目标域名/独立批次预检，不能把当前永远fixture的脚本改为默认真实模型。</w:t>
      </w:r>
    </w:p>
    <w:p>
      <w:pPr>
        <w:pStyle w:val="Heading2"/>
      </w:pPr>
      <w:r>
        <w:t>必须输出的真实结果</w:t>
      </w:r>
    </w:p>
    <w:p>
      <w:r>
        <w:t>报告30个独立会话、路径分配、唯一轮数，首发消息端到端P50/P95/max，登录/状态/提交/回放分开计量；HTTP成功率/错误率、429/5xx、客户端超时、模型重试/兜底、DB错误和峰值连接/等待数、完整写入数量、跨用户状态/变量/记录隔离、重启/重登恢复。兜底返回HTTP200也计入fallback，不能按HTTP200判定语义质量通过。</w:t>
      </w:r>
    </w:p>
    <w:p>
      <w:r>
        <w:t>每轮尝试追踪与完整导出由管理员留存，报告分清模板/原模型/重试后回复/兜底。语言质量六维评分保留人工签署；压测不是研究者自由体验，更不是自动人评。托管DB持久化、安全、外部设备和人工审核都需各自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第29次交付 · Render托管准备／公网与导师未放行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