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DeepSeek Flash 专项反馈（第21次交付）</w:t>
      </w:r>
    </w:p>
    <w:p>
      <w:r>
        <w:t>日期：2026-10-12（北京时间）。依据原始附件（inputs/round21-deepseek-flash-requirements.docx），附件标题为“第二十轮反馈”。为保留上一轮已交付的双模型比较成果，本次使用第21次交付编号，不覆盖历史材料。</w:t>
      </w:r>
    </w:p>
    <w:p>
      <w:r>
        <w:t>本轮选择 deepseek-flash，只做单模型前置检查；GPT／双模型比较不作为门禁。真实 smoke 尚未发送，正式语义审核未执行，pilot_ready=false。</w:t>
      </w:r>
    </w:p>
    <w:p>
      <w:pPr>
        <w:pStyle w:val="Heading2"/>
      </w:pPr>
      <w:r>
        <w:t>给 GPT 的反馈</w:t>
      </w:r>
    </w:p>
    <w:p>
      <w:r>
        <w:t>已按指定选择 provider=deepseek、requested_model=deepseek-flash、HTTPS根地址https://api.deepseek.com/v1。非秘密配置通过命令环境变量明确应用；运行时 DEEPSEEK_API_KEY 仍未安全注入。用户在聊天中提供的密钥未复制到工具参数、仓库、报告或图片。请通过云环境 Secret 安全绑定，聊天中出现的密钥建议撤销并更换。</w:t>
      </w:r>
    </w:p>
    <w:p>
      <w:r>
        <w:t>实际前置检查退出2／not_run，缺DEEPSEEK_API_KEY，Adapter调用0、外部调用0、request_sent=false。response_model／HTTP状态／真实延迟均null。用户提供的“路由到DeepSeek V4.1 Flash”仅为未核实路由信息，不作为实际供应商标识。没有伪造成功调用或完整真实对话。</w:t>
      </w:r>
    </w:p>
    <w:p>
      <w:r>
        <w:t>新增单次 smoke 与 per-call metadata：至多一次Adapter请求，不经过实验Prompt或状态迁移，不重试；记录请求模型、响应model字段、HTTP状态、总延迟、失败层级。响应model未返回就留null，不推断供应商版本；并发请求不共享“上次响应模型”。原generate文本接口保持兼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修改原因</w:t>
            </w:r>
          </w:p>
        </w:tc>
        <w:tc>
          <w:tcPr>
            <w:tcW w:type="dxa" w:w="2160"/>
          </w:tcPr>
          <w:p>
            <w:r>
              <w:t>修改文件</w:t>
            </w:r>
          </w:p>
        </w:tc>
        <w:tc>
          <w:tcPr>
            <w:tcW w:type="dxa" w:w="2160"/>
          </w:tcPr>
          <w:p>
            <w:r>
              <w:t>测试结果</w:t>
            </w:r>
          </w:p>
        </w:tc>
        <w:tc>
          <w:tcPr>
            <w:tcW w:type="dxa" w:w="2160"/>
          </w:tcPr>
          <w:p>
            <w:r>
              <w:t>是否影响实验设计</w:t>
            </w:r>
          </w:p>
        </w:tc>
      </w:tr>
      <w:tr>
        <w:tc>
          <w:tcPr>
            <w:tcW w:type="dxa" w:w="2160"/>
          </w:tcPr>
          <w:p>
            <w:r>
              <w:t>区分请求名与供应商响应标识</w:t>
            </w:r>
          </w:p>
        </w:tc>
        <w:tc>
          <w:tcPr>
            <w:tcW w:type="dxa" w:w="2160"/>
          </w:tcPr>
          <w:p>
            <w:r>
              <w:t>model-adapter/src/providers/openai-compatible-adapter.ts、src/index.ts</w:t>
            </w:r>
          </w:p>
        </w:tc>
        <w:tc>
          <w:tcPr>
            <w:tcW w:type="dxa" w:w="2160"/>
          </w:tcPr>
          <w:p>
            <w:r>
              <w:t>元数据、缺失标识、并发隔离、原接口兼容</w:t>
            </w:r>
          </w:p>
        </w:tc>
        <w:tc>
          <w:tcPr>
            <w:tcW w:type="dxa" w:w="2160"/>
          </w:tcPr>
          <w:p>
            <w:r>
              <w:t>否；新增可选测量接口，不改业务状态</w:t>
            </w:r>
          </w:p>
        </w:tc>
      </w:tr>
      <w:tr>
        <w:tc>
          <w:tcPr>
            <w:tcW w:type="dxa" w:w="2160"/>
          </w:tcPr>
          <w:p>
            <w:r>
              <w:t>单次最小协议验证、失败即停</w:t>
            </w:r>
          </w:p>
        </w:tc>
        <w:tc>
          <w:tcPr>
            <w:tcW w:type="dxa" w:w="2160"/>
          </w:tcPr>
          <w:p>
            <w:r>
              <w:t>model-adapter/examples/deepseek-flash-smoke.ts、smoke-deepseek.ts、package.json</w:t>
            </w:r>
          </w:p>
        </w:tc>
        <w:tc>
          <w:tcPr>
            <w:tcW w:type="dxa" w:w="2160"/>
          </w:tcPr>
          <w:p>
            <w:r>
              <w:t>独立DeepSeek密钥、一次请求、不重试、受控错误层级</w:t>
            </w:r>
          </w:p>
        </w:tc>
        <w:tc>
          <w:tcPr>
            <w:tcW w:type="dxa" w:w="2160"/>
          </w:tcPr>
          <w:p>
            <w:r>
              <w:t>否；技术问候不属于研究Prompt</w:t>
            </w:r>
          </w:p>
        </w:tc>
      </w:tr>
      <w:tr>
        <w:tc>
          <w:tcPr>
            <w:tcW w:type="dxa" w:w="2160"/>
          </w:tcPr>
          <w:p>
            <w:r>
              <w:t>长尾统计不采用武断1秒门槛</w:t>
            </w:r>
          </w:p>
        </w:tc>
        <w:tc>
          <w:tcPr>
            <w:tcW w:type="dxa" w:w="2160"/>
          </w:tcPr>
          <w:p>
            <w:r>
              <w:t>同上latencySummary及flash-smoke.test.ts</w:t>
            </w:r>
          </w:p>
        </w:tc>
        <w:tc>
          <w:tcPr>
            <w:tcW w:type="dxa" w:w="2160"/>
          </w:tcPr>
          <w:p>
            <w:r>
              <w:t>P50/P95/max、严格超过3s/5s、retry/fallback、空样本null</w:t>
            </w:r>
          </w:p>
        </w:tc>
        <w:tc>
          <w:tcPr>
            <w:tcW w:type="dxa" w:w="2160"/>
          </w:tcPr>
          <w:p>
            <w:r>
              <w:t>否；只读诊断</w:t>
            </w:r>
          </w:p>
        </w:tc>
      </w:tr>
      <w:tr>
        <w:tc>
          <w:tcPr>
            <w:tcW w:type="dxa" w:w="2160"/>
          </w:tcPr>
          <w:p>
            <w:r>
              <w:t>保留输入、准确交付与差异清单</w:t>
            </w:r>
          </w:p>
        </w:tc>
        <w:tc>
          <w:tcPr>
            <w:tcW w:type="dxa" w:w="2160"/>
          </w:tcPr>
          <w:p>
            <w:r>
              <w:t>本轮反馈／报告／指南／Word、README、验收目录与原始Word</w:t>
            </w:r>
          </w:p>
        </w:tc>
        <w:tc>
          <w:tcPr>
            <w:tcW w:type="dxa" w:w="2160"/>
          </w:tcPr>
          <w:p>
            <w:r>
              <w:t>435 Vitest＋15 Playwright，450 passed</w:t>
            </w:r>
          </w:p>
        </w:tc>
        <w:tc>
          <w:tcPr>
            <w:tcW w:type="dxa" w:w="2160"/>
          </w:tcPr>
          <w:p>
            <w:r>
              <w:t>否；研究要求未擅自签核或改状态机</w:t>
            </w:r>
          </w:p>
        </w:tc>
      </w:tr>
    </w:tbl>
    <w:p>
      <w:r>
        <w:t>本轮新增9项测试，无新依赖／迁移，锁文件未改。experiment-core、AI Orchestrator、Validator、Prompt、数据库、前端、业务服务与阶段设计均冻结。未发现真实协议不兼容证据，因此没有猜测新增供应商专用协议。</w:t>
      </w:r>
    </w:p>
    <w:p>
      <w:pPr>
        <w:pStyle w:val="Heading2"/>
      </w:pPr>
      <w:r>
        <w:t>十项输出</w:t>
      </w:r>
    </w:p>
    <w:p>
      <w:r>
        <w:t>1. 安全配置摘要（acceptance/step6-round21/environment-check.json）：DeepSeek Flash非秘密选择已应用，密钥未注入；不要求GPT。</w:t>
      </w:r>
    </w:p>
    <w:p>
      <w:r>
        <w:t>2. smoke结果（acceptance/step6-round21/deepseek-flash-smoke.json）：not_run／退出2、没有发送真实请求。</w:t>
      </w:r>
    </w:p>
    <w:p>
      <w:r>
        <w:t>3. 真实认知路径记录（acceptance/step6-round21/real-cognitive-result.json）：not_run，无真实对话；本机HTTP回归另存。</w:t>
      </w:r>
    </w:p>
    <w:p>
      <w:r>
        <w:t>4. 真实情感路径记录（acceptance/step6-round21/real-emotional-result.json）：not_run，无真实对话；本机场景记录不代表正式故事。</w:t>
      </w:r>
    </w:p>
    <w:p>
      <w:r>
        <w:t>5. 历史回归（acceptance/step6-round21/test-results.json）：435 Vitest、15真实浏览器，450 passed；数据库/API、干扰、压力、恢复及7张截图重新生成。</w:t>
      </w:r>
    </w:p>
    <w:p>
      <w:r>
        <w:t>6. 真实语义审核表（acceptance/step6-round21/real-model-semantic-review.md）：0条，人工评分未执行；同内容Word已打包。</w:t>
      </w:r>
    </w:p>
    <w:p>
      <w:r>
        <w:t>7. 延迟与重试／兜底（acceptance/step6-round21/latency-report.json）：真实样本0、P50/P95/max与超过3s/5s统计null；本机统计明确分开。</w:t>
      </w:r>
    </w:p>
    <w:p>
      <w:r>
        <w:t>8. 模型名对应关系（acceptance/step6-round21/model-identity.json）：requested_model=deepseek-flash、response_model=null、路由未核实。</w:t>
      </w:r>
    </w:p>
    <w:p>
      <w:r>
        <w:t>9. 剩余问题（acceptance/step6-round21/research-requirements-gap.json）：安全密钥、正式Prompt冻结、规定互动轮次、正式场景/开场、气泡、行动意愿对象等尚未验收。</w:t>
      </w:r>
    </w:p>
    <w:p>
      <w:r>
        <w:t>10. Acceptance Report（twenty-first-round-acceptance-report.md）：pilot_ready=false，依据为真实smoke未通过、正式Prompt未确认、语义未签核；不是双模型配置阻塞。</w:t>
      </w:r>
    </w:p>
    <w:p>
      <w:pPr>
        <w:pStyle w:val="Heading2"/>
      </w:pPr>
      <w:r>
        <w:t>下一步</w:t>
      </w:r>
    </w:p>
    <w:p>
      <w:r>
        <w:t>先按操作指南（round21-deepseek-flash-guide.md）在云环境Secret绑定新DEEPSEEK_API_KEY并保存配置，核对实际注入后执行一次smoke。失败即停，修复对应鉴权／网络／模型／参数／协议问题，不改状态机规避。</w:t>
      </w:r>
    </w:p>
    <w:p>
      <w:r>
        <w:t>正式StagePolicy、prompt_version、研究者批准的开场、固定场景与每个重构规定轮数尚未提供。既有真实业务入口明确使用demo_policies=true，不能当正式Prompt验收。smoke通过也不自动继续整套实验、签核语言质量或设pilot_ready=true。需先提供/冻结正式研究材料，明确缺口再按授权复验。</w:t>
      </w:r>
    </w:p>
    <w:p>
      <w:r>
        <w:t>ZIP包含整个源码、全部历史成果、原始要求Word、反馈Word、Acceptance Report Word、真实审核表Word、本轮报告、测试和截图。所有素材没有明文密钥。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 Agent Research Platform · 第21轮验收材料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