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sz w:val="36"/>
        </w:rPr>
        <w:t>第26次反馈：优先开放本地研究者体验版与非脚本验收</w:t>
      </w:r>
    </w:p>
    <w:p>
      <w:r>
        <w:rPr>
          <w:b/>
        </w:rPr>
        <w:t>本轮目标：</w:t>
      </w:r>
      <w:r>
        <w:t>让研究者本人尽快通过真实参与者界面与 DeepSeek Flash 进行非脚本对话体验。当前不把公网 Preview URL、独立 VM 或域名作为研究者自测的前置条件，也不继续增加与实验体验无关的功能。</w:t>
      </w:r>
    </w:p>
    <w:p>
      <w:pPr>
        <w:pStyle w:val="Heading1"/>
      </w:pPr>
      <w:r>
        <w:t>一、对当前项目状态的确认</w:t>
      </w:r>
    </w:p>
    <w:p>
      <w:pPr>
        <w:pStyle w:val="ListBullet"/>
      </w:pPr>
      <w:r>
        <w:t>最新工程已具备 Participant 页面、Admin 只读页面、完整业务记录导出、研究者 Preview 启动工具和固定的认知／情感／日常三条体验账号逻辑。</w:t>
      </w:r>
    </w:p>
    <w:p>
      <w:pPr>
        <w:pStyle w:val="ListBullet"/>
      </w:pPr>
      <w:r>
        <w:t>当前自动化基线为 448 项 Vitest + 18 项 Playwright，共 466 项；内部 Preview 的 HTML、JS、登录、访问隔离、完整导出和数据完整性检查均已通过。</w:t>
      </w:r>
    </w:p>
    <w:p>
      <w:pPr>
        <w:pStyle w:val="ListBullet"/>
      </w:pPr>
      <w:r>
        <w:t>DeepSeek Flash 真实 smoke 已再次返回 HTTP 200；本轮重点不再是验证“能否连接模型”。</w:t>
      </w:r>
    </w:p>
    <w:p>
      <w:pPr>
        <w:pStyle w:val="ListBullet"/>
      </w:pPr>
      <w:r>
        <w:t>当前 Codex 会话没有可直接发布共享 Preview URL 的能力，也没有已授权的 staging 主机和域名。内部回环端口可以验证程序，但不能作为研究者从外部浏览器访问的网址。</w:t>
      </w:r>
    </w:p>
    <w:p>
      <w:pPr>
        <w:pStyle w:val="ListBullet"/>
      </w:pPr>
      <w:r>
        <w:t>第26次既有真实路径证据中，认知路径 20 轮出现 9 次重试、8 轮兜底；这一项必须通过研究者本人非脚本体验判断是否影响自然度、响应性与实验有效性。</w:t>
      </w:r>
    </w:p>
    <w:p>
      <w:pPr>
        <w:pStyle w:val="Heading1"/>
      </w:pPr>
      <w:r>
        <w:t>二、部署策略调整：先本地自测，外部 Staging 后移</w:t>
      </w:r>
    </w:p>
    <w:p>
      <w:r>
        <w:rPr>
          <w:b/>
        </w:rPr>
        <w:t>请调整当前部署优先级：</w:t>
      </w:r>
      <w:r>
        <w:t>研究者本人测试不需要先购买服务器、配置域名或部署 HTTPS。独立 VM + 域名方案保留为“导师测试／多人远程测试”阶段使用。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阶段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目标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是否需要公网 URL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本轮处理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sz w:val="19"/>
              </w:rPr>
              <w:t>A. 研究者本人体验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sz w:val="19"/>
              </w:rPr>
              <w:t>本人从参与者视角自由对话、发现流程与语言问题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sz w:val="19"/>
              </w:rPr>
              <w:t>不需要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sz w:val="19"/>
              </w:rPr>
              <w:t>现在优先完成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sz w:val="19"/>
              </w:rPr>
              <w:t>B. 导师／远程内部测试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sz w:val="19"/>
              </w:rPr>
              <w:t>让其他人通过网址进入测试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sz w:val="19"/>
              </w:rPr>
              <w:t>需要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sz w:val="19"/>
              </w:rPr>
              <w:t>A 通过后再部署 staging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sz w:val="19"/>
              </w:rPr>
              <w:t>C. 正式实验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sz w:val="19"/>
              </w:rPr>
              <w:t>真实被试稳定访问、备份与安全运行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sz w:val="19"/>
              </w:rPr>
              <w:t>需要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微软雅黑"/>
                <w:sz w:val="19"/>
              </w:rPr>
              <w:t>导师验收后另行冻结与部署</w:t>
            </w:r>
          </w:p>
        </w:tc>
      </w:tr>
    </w:tbl>
    <w:p>
      <w:pPr>
        <w:pStyle w:val="Heading1"/>
      </w:pPr>
      <w:r>
        <w:t>三、本轮请优先提供“本地研究者 Preview”</w:t>
      </w:r>
    </w:p>
    <w:p>
      <w:r>
        <w:t>现有 scripts/researcher-preview.mjs 已能创建独立 PostgreSQL、固定三条路径账号并启动 Web/API，因此请在不修改实验核心逻辑的前提下，为研究者增加一个尽可能简单的本地启动入口。</w:t>
      </w:r>
    </w:p>
    <w:p>
      <w:pPr>
        <w:pStyle w:val="ListNumber"/>
      </w:pPr>
      <w:r>
        <w:t>优先面向 Windows 提供一键或少步骤启动方式，例如 Start-Researcher-Preview.ps1／.bat；不得修改 experiment-core、正式 Prompt、mentor-test-v1 或 Model Adapter 逻辑。</w:t>
      </w:r>
    </w:p>
    <w:p>
      <w:pPr>
        <w:pStyle w:val="ListNumber"/>
      </w:pPr>
      <w:r>
        <w:t>启动脚本先检查必要条件，并用中文明确提示缺失项。尽量复用现有 Node 24 + Docker 方案，不额外引入新的数据库或第二套实验实现。</w:t>
      </w:r>
    </w:p>
    <w:p>
      <w:pPr>
        <w:pStyle w:val="ListNumber"/>
      </w:pPr>
      <w:r>
        <w:t>研究者只需在自己的电脑安全提供 DEEPSEEK_API_KEY。密钥不得写入 Git、Word、日志或启动参数；若使用本地环境变量，应给出最短的手动设置说明，并禁止回显真实值。</w:t>
      </w:r>
    </w:p>
    <w:p>
      <w:pPr>
        <w:pStyle w:val="ListNumber"/>
      </w:pPr>
      <w:r>
        <w:t>启动成功后自动或明确提示本地地址，例如 http://127.0.0.1:&lt;port&gt;，并给出 experiment_id、R001-COG、R001-EMO、R001-DAILY 的登录信息获取方式。</w:t>
      </w:r>
    </w:p>
    <w:p>
      <w:pPr>
        <w:pStyle w:val="ListNumber"/>
      </w:pPr>
      <w:r>
        <w:t>若默认端口被占用，自动寻找可用端口或给出明确替代端口，不要求研究者排查进程。</w:t>
      </w:r>
    </w:p>
    <w:p>
      <w:pPr>
        <w:pStyle w:val="ListNumber"/>
      </w:pPr>
      <w:r>
        <w:t>停止并重新启动后必须保留已有体验记录；新一轮测试使用 R002／R003 等新账号，不删除旧会话。</w:t>
      </w:r>
    </w:p>
    <w:p>
      <w:pPr>
        <w:pStyle w:val="ListNumber"/>
      </w:pPr>
      <w:r>
        <w:t>提供“停止服务”“重新启动”“创建新一轮”“导出完整 JSON”四个最短操作入口。</w:t>
      </w:r>
    </w:p>
    <w:p>
      <w:pPr>
        <w:pStyle w:val="Heading1"/>
      </w:pPr>
      <w:r>
        <w:t>四、研究者本人非脚本体验必须做，且应从本轮开始</w:t>
      </w:r>
    </w:p>
    <w:p>
      <w:r>
        <w:t>自动化测试不能替代人工体验。人工语言审核不需要在体验之前全部完成；最有效的方式是：</w:t>
      </w:r>
      <w:r>
        <w:rPr>
          <w:b/>
        </w:rPr>
        <w:t>同一场真实自由会话既作为体验材料，也作为人工语言审核材料。</w:t>
      </w:r>
    </w:p>
    <w:p>
      <w:pPr>
        <w:pStyle w:val="ListBullet"/>
      </w:pPr>
      <w:r>
        <w:t>认知路径：不照测试脚本，自然输入一个真实口语化负面刻板印象，允许中途质疑、补充、跑题或简短回答，重点观察 confirmed_belief 是否漂移、两次评分对象是否一致、四阶段重构是否完整以及兜底是否生硬。</w:t>
      </w:r>
    </w:p>
    <w:p>
      <w:pPr>
        <w:pStyle w:val="ListBullet"/>
      </w:pPr>
      <w:r>
        <w:t>情感路径：自由参与故事共创，重点检查是否回应用户后再推进、场景是否回流、是否重复提问、是否出现病句／指代不清、结束后是否重新开启任务。</w:t>
      </w:r>
    </w:p>
    <w:p>
      <w:pPr>
        <w:pStyle w:val="ListBullet"/>
      </w:pPr>
      <w:r>
        <w:t>日常／中性路径：自然聊天，确认不会意外引入种族干预材料，也不会因为缺少强状态约束而无限聊天或无法结束。</w:t>
      </w:r>
    </w:p>
    <w:p>
      <w:pPr>
        <w:pStyle w:val="ListBullet"/>
      </w:pPr>
      <w:r>
        <w:t>每条路径至少完成 1 个完整非脚本会话；出现 A 级或主要 B 级问题后修复，再用新一轮账号复验。</w:t>
      </w:r>
    </w:p>
    <w:p>
      <w:pPr>
        <w:pStyle w:val="Heading1"/>
      </w:pPr>
      <w:r>
        <w:t>五、人工语言审核标准</w:t>
      </w:r>
    </w:p>
    <w:p>
      <w:r>
        <w:t>请继续使用现有审核模板，但将以下六维作为研究者签署依据：流程忠实度、对用户输入的响应性、语义准确性／指代清晰度、语言自然度、中性与非诱导性、重复与机械感。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b/>
                <w:sz w:val="18"/>
              </w:rPr>
              <w:t>等级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b/>
                <w:sz w:val="18"/>
              </w:rPr>
              <w:t>定义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b/>
                <w:sz w:val="18"/>
              </w:rPr>
              <w:t>示例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b/>
                <w:sz w:val="18"/>
              </w:rPr>
              <w:t>处理</w:t>
            </w:r>
          </w:p>
        </w:tc>
      </w:tr>
      <w:tr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sz w:val="18"/>
              </w:rPr>
              <w:t>A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sz w:val="18"/>
              </w:rPr>
              <w:t>可能破坏实验有效性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sz w:val="18"/>
              </w:rPr>
              <w:t>观点被替换、AI新增用户未表达刻板印象、评分对象变化、状态跳步／回退、实验条件串线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sz w:val="18"/>
              </w:rPr>
              <w:t>必须修复并复验</w:t>
            </w:r>
          </w:p>
        </w:tc>
      </w:tr>
      <w:tr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sz w:val="18"/>
              </w:rPr>
              <w:t>B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sz w:val="18"/>
              </w:rPr>
              <w:t>明显影响体验或干预一致性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sz w:val="18"/>
              </w:rPr>
              <w:t>连续复读、明显答非所问、兜底过多、生硬转场、情感场景忽视用户输入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sz w:val="18"/>
              </w:rPr>
              <w:t>主要问题修复后复验</w:t>
            </w:r>
          </w:p>
        </w:tc>
      </w:tr>
      <w:tr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sz w:val="18"/>
              </w:rPr>
              <w:t>C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sz w:val="18"/>
              </w:rPr>
              <w:t>轻微措辞与界面问题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sz w:val="18"/>
              </w:rPr>
              <w:t>个别句子略生硬、非关键文案可优化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微软雅黑"/>
                <w:sz w:val="18"/>
              </w:rPr>
              <w:t>可记录后延期</w:t>
            </w:r>
          </w:p>
        </w:tc>
      </w:tr>
    </w:tbl>
    <w:p>
      <w:pPr>
        <w:pStyle w:val="Heading1"/>
      </w:pPr>
      <w:r>
        <w:t>六、认知路径当前风险要单独处理</w:t>
      </w:r>
    </w:p>
    <w:p>
      <w:r>
        <w:rPr>
          <w:b/>
        </w:rPr>
        <w:t>请不要因为 20 轮流程可以结束就判定认知路径通过。</w:t>
      </w:r>
      <w:r>
        <w:t>既有真实验收中 8/20 轮使用兜底、9 次重试，是当前最需要研究者判断的问题。</w:t>
      </w:r>
    </w:p>
    <w:p>
      <w:pPr>
        <w:pStyle w:val="ListBullet"/>
      </w:pPr>
      <w:r>
        <w:t>导出这 20 轮的 user input、原始模型结果／validator结果（若已有）、最终呈现文本、retry_count、fallback原因和state_before/state_after，供人工逐轮核对。</w:t>
      </w:r>
    </w:p>
    <w:p>
      <w:pPr>
        <w:pStyle w:val="ListBullet"/>
      </w:pPr>
      <w:r>
        <w:t>优先判断兜底是否来自过严 Validator、Prompt 与输出格式冲突，还是模型本身未遵循当前阶段要求；不要先扩大词库或整体重写状态机。</w:t>
      </w:r>
    </w:p>
    <w:p>
      <w:pPr>
        <w:pStyle w:val="ListBullet"/>
      </w:pPr>
      <w:r>
        <w:t>如果兜底文本重复或削弱“回应用户内容—再推进任务”的体验，应针对该失败类型做最小修复并增加回归用例。</w:t>
      </w:r>
    </w:p>
    <w:p>
      <w:pPr>
        <w:pStyle w:val="ListBullet"/>
      </w:pPr>
      <w:r>
        <w:t>修复前后都必须保证 confirmed_belief、评分数据和合法 state transition 不发生改变。</w:t>
      </w:r>
    </w:p>
    <w:p>
      <w:pPr>
        <w:pStyle w:val="Heading1"/>
      </w:pPr>
      <w:r>
        <w:t>七、外部 Staging 何时再做</w:t>
      </w:r>
    </w:p>
    <w:p>
      <w:r>
        <w:t>独立 VM／测试域名／Caddy 方案继续保留，但本轮不作为阻塞项。只有在研究者本人完成三条非脚本体验、A 级问题为 0、主要 B 级问题已整改后，再进入导师远程测试部署。届时研究者才需要手动完成云账号／服务器、域名 DNS 和服务器 Secret 等外部资源配置。</w:t>
      </w:r>
    </w:p>
    <w:p>
      <w:pPr>
        <w:pStyle w:val="Heading1"/>
      </w:pPr>
      <w:r>
        <w:t>八、本轮禁止事项</w:t>
      </w:r>
    </w:p>
    <w:p>
      <w:pPr>
        <w:pStyle w:val="ListBullet"/>
      </w:pPr>
      <w:r>
        <w:t>不要为了本地体验修改实验核心架构。</w:t>
      </w:r>
    </w:p>
    <w:p>
      <w:pPr>
        <w:pStyle w:val="ListBullet"/>
      </w:pPr>
      <w:r>
        <w:t>不要重新设计网页视觉或加入复杂动画。</w:t>
      </w:r>
    </w:p>
    <w:p>
      <w:pPr>
        <w:pStyle w:val="ListBullet"/>
      </w:pPr>
      <w:r>
        <w:t>不要把公网部署、域名购买或生产备份作为本人首次体验的前置条件。</w:t>
      </w:r>
    </w:p>
    <w:p>
      <w:pPr>
        <w:pStyle w:val="ListBullet"/>
      </w:pPr>
      <w:r>
        <w:t>不要用新的脚本会话冒充“人工非脚本体验”。</w:t>
      </w:r>
    </w:p>
    <w:p>
      <w:pPr>
        <w:pStyle w:val="ListBullet"/>
      </w:pPr>
      <w:r>
        <w:t>不要因为自动化测试数量增加就自动设置 mentor_test_ready=true。</w:t>
      </w:r>
    </w:p>
    <w:p>
      <w:pPr>
        <w:pStyle w:val="Heading1"/>
      </w:pPr>
      <w:r>
        <w:t>九、本轮交付要求</w:t>
      </w:r>
    </w:p>
    <w:p>
      <w:pPr>
        <w:pStyle w:val="ListNumber"/>
      </w:pPr>
      <w:r>
        <w:t>研究者本地 Preview 的 Windows 最短启动入口和中文说明；</w:t>
      </w:r>
    </w:p>
    <w:p>
      <w:pPr>
        <w:pStyle w:val="ListNumber"/>
      </w:pPr>
      <w:r>
        <w:t>明确列出用户必须手动完成的步骤，目标控制在“安装必要运行环境 + 设置 DeepSeek Secret + 启动”这一最小范围；</w:t>
      </w:r>
    </w:p>
    <w:p>
      <w:pPr>
        <w:pStyle w:val="ListNumber"/>
      </w:pPr>
      <w:r>
        <w:t>启动成功后的本地 URL 与三个体验账号获取方法；</w:t>
      </w:r>
    </w:p>
    <w:p>
      <w:pPr>
        <w:pStyle w:val="ListNumber"/>
      </w:pPr>
      <w:r>
        <w:t>认知路径 20 轮重试／兜底逐轮审核材料；</w:t>
      </w:r>
    </w:p>
    <w:p>
      <w:pPr>
        <w:pStyle w:val="ListNumber"/>
      </w:pPr>
      <w:r>
        <w:t>完整 JSON 导出与人工审核模板保持可用；</w:t>
      </w:r>
    </w:p>
    <w:p>
      <w:pPr>
        <w:pStyle w:val="ListNumber"/>
      </w:pPr>
      <w:r>
        <w:t>给出 researcher_self_test_ready（研究者本人是否已经可以开始体验）和 mentor_test_ready 两个独立结论，不得混用；</w:t>
      </w:r>
    </w:p>
    <w:p>
      <w:pPr>
        <w:pStyle w:val="ListNumber"/>
      </w:pPr>
      <w:r>
        <w:t>如果本地方案存在技术阻塞，再说明具体阻塞后回退到独立 VM 方案，不要默认先让用户购买云服务器。</w:t>
      </w:r>
    </w:p>
    <w:p>
      <w:r>
        <w:rPr>
          <w:b/>
        </w:rPr>
        <w:t>本轮验收目标：</w:t>
      </w:r>
      <w:r>
        <w:t>研究者能够在自己的浏览器中真正进入三条路径并自由与 AI 对话。达到这一点即可开始人工体验；无需等待网站美化或正式公网部署。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