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第十三轮反馈：Step 6.3 业务链路验收与前后端联调</w:t>
      </w:r>
    </w:p>
    <w:p>
      <w:r>
        <w:t>日期：2026-10-11。按照 本轮原始要求（inputs/thirteenth-round-requirements.docx）先补强已通过的后端链路，再完成最小参与者／只读管理员页面，未修改核心实验规则、AI 编排或数据库结构。</w:t>
      </w:r>
    </w:p>
    <w:p>
      <w:pPr>
        <w:pStyle w:val="Heading2"/>
      </w:pPr>
      <w:r>
        <w:t>给 GPT 的反馈</w:t>
      </w:r>
    </w:p>
    <w:p>
      <w:r>
        <w:t>前端已接入真实业务 API：参与者登录 → 获取固定分配／说明／当前表单 → 对话 → Model Adapter／编排／Validator → 数据库记录 → 前端显示。聊天完成仍不产生状态事件；只有“提交当前填写”通过后端映射合法 event，原子保存状态、事件、变量和回执。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修改文件</w:t>
            </w:r>
          </w:p>
        </w:tc>
        <w:tc>
          <w:tcPr>
            <w:tcW w:type="dxa" w:w="2880"/>
          </w:tcPr>
          <w:p>
            <w:r>
              <w:t>对实验设计影响</w:t>
            </w:r>
          </w:p>
        </w:tc>
      </w:tr>
      <w:tr>
        <w:tc>
          <w:tcPr>
            <w:tcW w:type="dxa" w:w="2880"/>
          </w:tcPr>
          <w:p>
            <w:r>
              <w:t>每个业务步骤需要可关联日志</w:t>
            </w:r>
          </w:p>
        </w:tc>
        <w:tc>
          <w:tcPr>
            <w:tcW w:type="dxa" w:w="2880"/>
          </w:tcPr>
          <w:p>
            <w:r>
              <w:t>services/trace.ts、各业务 Service、server.ts</w:t>
            </w:r>
          </w:p>
        </w:tc>
        <w:tc>
          <w:tcPr>
            <w:tcW w:type="dxa" w:w="2880"/>
          </w:tcPr>
          <w:p>
            <w:r>
              <w:t>仅安全诊断 marker，不记录输入／秘密，不改变研究状态</w:t>
            </w:r>
          </w:p>
        </w:tc>
      </w:tr>
      <w:tr>
        <w:tc>
          <w:tcPr>
            <w:tcW w:type="dxa" w:w="2880"/>
          </w:tcPr>
          <w:p>
            <w:r>
              <w:t>首次捕获应能在页面明确填写来源</w:t>
            </w:r>
          </w:p>
        </w:tc>
        <w:tc>
          <w:tcPr>
            <w:tcW w:type="dxa" w:w="2880"/>
          </w:tcPr>
          <w:p>
            <w:r>
              <w:t>participant-service.ts 的安全表单投影、共享 contracts</w:t>
            </w:r>
          </w:p>
        </w:tc>
        <w:tc>
          <w:tcPr>
            <w:tcW w:type="dxa" w:w="2880"/>
          </w:tcPr>
          <w:p>
            <w:r>
              <w:t>source 保持 v1 兼容可选；仅首次捕获出现，不推断来源</w:t>
            </w:r>
          </w:p>
        </w:tc>
      </w:tr>
      <w:tr>
        <w:tc>
          <w:tcPr>
            <w:tcW w:type="dxa" w:w="2880"/>
          </w:tcPr>
          <w:p>
            <w:r>
              <w:t>实验操作需要最小参与者 UI</w:t>
            </w:r>
          </w:p>
        </w:tc>
        <w:tc>
          <w:tcPr>
            <w:tcW w:type="dxa" w:w="2880"/>
          </w:tcPr>
          <w:p>
            <w:r>
              <w:t>web/src/Participant.tsx、api.ts、App.tsx、styles.css</w:t>
            </w:r>
          </w:p>
        </w:tc>
        <w:tc>
          <w:tcPr>
            <w:tcW w:type="dxa" w:w="2880"/>
          </w:tcPr>
          <w:p>
            <w:r>
              <w:t>页面不决定阶段，聊天与明确提交分开；无 UI 规则替换 core</w:t>
            </w:r>
          </w:p>
        </w:tc>
      </w:tr>
      <w:tr>
        <w:tc>
          <w:tcPr>
            <w:tcW w:type="dxa" w:w="2880"/>
          </w:tcPr>
          <w:p>
            <w:r>
              <w:t>研究人员需要只读查看和下载</w:t>
            </w:r>
          </w:p>
        </w:tc>
        <w:tc>
          <w:tcPr>
            <w:tcW w:type="dxa" w:w="2880"/>
          </w:tcPr>
          <w:p>
            <w:r>
              <w:t>web/src/Admin.tsx</w:t>
            </w:r>
          </w:p>
        </w:tc>
        <w:tc>
          <w:tcPr>
            <w:tcW w:type="dxa" w:w="2880"/>
          </w:tcPr>
          <w:p>
            <w:r>
              <w:t>仅查询及已授权限量 JSON，不提供运行中修改或人工 state 操作</w:t>
            </w:r>
          </w:p>
        </w:tc>
      </w:tr>
      <w:tr>
        <w:tc>
          <w:tcPr>
            <w:tcW w:type="dxa" w:w="2880"/>
          </w:tcPr>
          <w:p>
            <w:r>
              <w:t>并发和清空运行实例后需证明可靠</w:t>
            </w:r>
          </w:p>
        </w:tc>
        <w:tc>
          <w:tcPr>
            <w:tcW w:type="dxa" w:w="2880"/>
          </w:tcPr>
          <w:p>
            <w:r>
              <w:t>api/tests/business.test.ts</w:t>
            </w:r>
          </w:p>
        </w:tc>
        <w:tc>
          <w:tcPr>
            <w:tcW w:type="dxa" w:w="2880"/>
          </w:tcPr>
          <w:p>
            <w:r>
              <w:t>新增真实数据库并发／安全日志／新 Pool 恢复测试</w:t>
            </w:r>
          </w:p>
        </w:tc>
      </w:tr>
      <w:tr>
        <w:tc>
          <w:tcPr>
            <w:tcW w:type="dxa" w:w="2880"/>
          </w:tcPr>
          <w:p>
            <w:r>
              <w:t>页面不能靠静态截图验收</w:t>
            </w:r>
          </w:p>
        </w:tc>
        <w:tc>
          <w:tcPr>
            <w:tcW w:type="dxa" w:w="2880"/>
          </w:tcPr>
          <w:p>
            <w:r>
              <w:t>web/tests/browser.spec.ts、playwright.config.ts、工程配置</w:t>
            </w:r>
          </w:p>
        </w:tc>
        <w:tc>
          <w:tcPr>
            <w:tcW w:type="dxa" w:w="2880"/>
          </w:tcPr>
          <w:p>
            <w:r>
              <w:t>新增真实 Chromium 端到端与 CI 安装步骤，不调用真实模型</w:t>
            </w:r>
          </w:p>
        </w:tc>
      </w:tr>
    </w:tbl>
    <w:p>
      <w:pPr>
        <w:pStyle w:val="Heading2"/>
      </w:pPr>
      <w:r>
        <w:t>九项交付</w:t>
      </w:r>
    </w:p>
    <w:p>
      <w:r>
        <w:t>Step 6.3 联调文档（step6-3-frontend-integration.md）逐项包含：业务流程图、API 目录、Service 结构、Repository 结构、数据库写入示例、完整消息请求、状态迁移与并发示例、测试与截图、当前阻塞问题。</w:t>
      </w:r>
    </w:p>
    <w:p>
      <w:r>
        <w:t>参与者页面包含登录、说明、对话／消息、加载、明确填写提交、错误及幂等重试。管理员页面包含实验选择、参与者／当前状态、对话、授权下载，明确提示导出限制。没有页面美化扩展、复杂动画、高级权限或部署。</w:t>
      </w:r>
    </w:p>
    <w:p>
      <w:pPr>
        <w:pStyle w:val="Heading2"/>
      </w:pPr>
      <w:r>
        <w:t>实际验收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380 passed，0 failed，0 skipped，15 个文件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8 passed，0 failed，0 skipped；真实 Chromium／Vite／Express／PostgreSQL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388 项实际测试；业务服务／API 38 项，新增 3 项；新增 8 项页面联调</w:t>
            </w:r>
          </w:p>
        </w:tc>
      </w:tr>
      <w:tr>
        <w:tc>
          <w:tcPr>
            <w:tcW w:type="dxa" w:w="4320"/>
          </w:tcPr>
          <w:p>
            <w:r>
              <w:t>认知浏览器完整路径</w:t>
            </w:r>
          </w:p>
        </w:tc>
        <w:tc>
          <w:tcPr>
            <w:tcW w:type="dxa" w:w="4320"/>
          </w:tcPr>
          <w:p>
            <w:r>
              <w:t>9 个语言回合、18 条消息、10 次合法迁移、9 个模型日志；六个研究键入库</w:t>
            </w:r>
          </w:p>
        </w:tc>
      </w:tr>
      <w:tr>
        <w:tc>
          <w:tcPr>
            <w:tcW w:type="dxa" w:w="4320"/>
          </w:tcPr>
          <w:p>
            <w:r>
              <w:t>情感浏览器完整路径</w:t>
            </w:r>
          </w:p>
        </w:tc>
        <w:tc>
          <w:tcPr>
            <w:tcW w:type="dxa" w:w="4320"/>
          </w:tcPr>
          <w:p>
            <w:r>
              <w:t>7 个语言回合、14 条消息、8 次合法迁移、7 个模型日志；四个研究键入库</w:t>
            </w:r>
          </w:p>
        </w:tc>
      </w:tr>
      <w:tr>
        <w:tc>
          <w:tcPr>
            <w:tcW w:type="dxa" w:w="4320"/>
          </w:tcPr>
          <w:p>
            <w:r>
              <w:t>网络重复与并发</w:t>
            </w:r>
          </w:p>
        </w:tc>
        <w:tc>
          <w:tcPr>
            <w:tcW w:type="dxa" w:w="4320"/>
          </w:tcPr>
          <w:p>
            <w:r>
              <w:t>丢失已落库回复后同键重试；不会重复模型生成／状态迁移；并发不同键仅一个推进</w:t>
            </w:r>
          </w:p>
        </w:tc>
      </w:tr>
      <w:tr>
        <w:tc>
          <w:tcPr>
            <w:tcW w:type="dxa" w:w="4320"/>
          </w:tcPr>
          <w:p>
            <w:r>
              <w:t>状态恢复</w:t>
            </w:r>
          </w:p>
        </w:tc>
        <w:tc>
          <w:tcPr>
            <w:tcW w:type="dxa" w:w="4320"/>
          </w:tcPr>
          <w:p>
            <w:r>
              <w:t>新 Pool／Service 和浏览器 reload 重新登录恢复固定分配、版本、变量、状态和记录；上轮 SIGKILL 测试继续执行</w:t>
            </w:r>
          </w:p>
        </w:tc>
      </w:tr>
      <w:tr>
        <w:tc>
          <w:tcPr>
            <w:tcW w:type="dxa" w:w="4320"/>
          </w:tcPr>
          <w:p>
            <w:r>
              <w:t>权限与只读后台</w:t>
            </w:r>
          </w:p>
        </w:tc>
        <w:tc>
          <w:tcPr>
            <w:tcW w:type="dxa" w:w="4320"/>
          </w:tcPr>
          <w:p>
            <w:r>
              <w:t>未认证／越权拒绝；参与者凭据不能进入后台；管理员真实下载排除密码／会话摘要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ci 与 npm run check 全部通过：类型、lint、格式、构建、380 后端测试及 8 浏览器测试</w:t>
            </w:r>
          </w:p>
        </w:tc>
      </w:tr>
    </w:tbl>
    <w:p>
      <w:r>
        <w:t>验收目录（acceptance/step6-round13/）保存 Vitest／浏览器 JSON、安全日志、恢复导出、认知／情感完整数据库样例、实际下载样例和三张真实截图。Word 反馈（thirteenth-round-feedback.docx）与本文件内容一致。项目 ZIP 包含本轮源代码、原始反馈、九项联调材料、本反馈和完整验收成果，以及历史成果。</w:t>
      </w:r>
    </w:p>
    <w:p>
      <w:r>
        <w:t>浏览器测试不模拟页面 API 返回：React 经真实 Vite 代理调用 Express、Service、Repository 和 PostgreSQL。模型采用 MockAdapter 合成回复，外部真实模型调用为 0；不能把页面联调通过当作真实 LLM 或正式实验验收。</w:t>
      </w:r>
    </w:p>
    <w:p>
      <w:pPr>
        <w:pStyle w:val="Heading2"/>
      </w:pPr>
      <w:r>
        <w:t>仍需 GPT 与研究者复核</w:t>
      </w:r>
    </w:p>
    <w:p>
      <w:r>
        <w:t>source 在认知首次捕获页面标为选填，保持 v1；正式研究若要求必填需单独审核并固定新配置／版本。场景与人物变量仍是明确文本，scene_phase 是后端 event.toStage；未引入新的正式场景 schema、量表或干预内容。</w:t>
      </w:r>
    </w:p>
    <w:p>
      <w:r>
        <w:t>页面凭据仅存当前页面内存，刷新或切换入口要重新登录，实验记录仍在数据库。浏览器每秒查询 generating 回合，不自动推进。后台目前单一 bootstrap 身份、只读查询，导出 complete=false／每类最多 1000 条；不能直接当完整研究归档。</w:t>
      </w:r>
    </w:p>
    <w:p>
      <w:r>
        <w:t>仍无真实模型验收、外部持久数据库、部署、生产角色／RLS、分布式认证、后台生成队列或备份恢复演练；供应商独立修订号和 token_usage 未采集。GitHub Actions 安装步骤已更新，本地全量验证不代替远端 CI 的运行状态。</w:t>
      </w:r>
    </w:p>
    <w:p>
      <w:r>
        <w:t>建议下一轮先复核正式研究字段、量表和页面操作说明，再决定真实模型语义验收与正式导出范围。本轮只证明工程链路与最小页面可靠，不构成实验上线。</w:t>
      </w:r>
    </w:p>
    <w:p>
      <w:r>
        <w:t>云环境安装／启动草稿已更新为 Chromium 与最小页面工作流，未改凭据或网络；需在环境设置审核、保存并发布后用于后续任务。npm run dev:api／dev:web、health、Vite 代理和当前 React 模块已实际验证，记录在 startup-check.json；这些进程健康检查不代替数据库业务验收。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第十三轮验收材料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