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第24次交付：只读评估与当前工程验收成果</w:t>
      </w:r>
    </w:p>
    <w:p>
      <w:r>
        <w:t>日期：2026-10-13（UTC）。基线提交：743d08e3d164ae451b73e7a9d6d1871a0b107d90。本次输入附件标题“第23次反馈”，仓库交付编号第24次。</w:t>
      </w:r>
    </w:p>
    <w:p>
      <w:r>
        <w:t>按用户要求，应用、状态机、Prompt、Validator、Adapter、数据库迁移、测试、依赖与锁文件均未修改。变化仅 README/docs 中评估与验收归档；后续修改需要确认。</w:t>
      </w:r>
    </w:p>
    <w:p>
      <w:pPr>
        <w:pStyle w:val="Heading2"/>
      </w:pPr>
      <w:r>
        <w:t>已完成成果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链接</w:t>
            </w:r>
          </w:p>
        </w:tc>
      </w:tr>
      <w:tr>
        <w:tc>
          <w:tcPr>
            <w:tcW w:type="dxa" w:w="4320"/>
          </w:tcPr>
          <w:p>
            <w:r>
              <w:t>四项评估及给 GPT 的反馈</w:t>
            </w:r>
          </w:p>
        </w:tc>
        <w:tc>
          <w:tcPr>
            <w:tcW w:type="dxa" w:w="4320"/>
          </w:tcPr>
          <w:p>
            <w:r>
              <w:t>正文（twenty-fourth-round-feedback.md） / Word（twenty-fourth-round-feedback.docx）</w:t>
            </w:r>
          </w:p>
        </w:tc>
      </w:tr>
      <w:tr>
        <w:tc>
          <w:tcPr>
            <w:tcW w:type="dxa" w:w="4320"/>
          </w:tcPr>
          <w:p>
            <w:r>
              <w:t>本轮交付报告</w:t>
            </w:r>
          </w:p>
        </w:tc>
        <w:tc>
          <w:tcPr>
            <w:tcW w:type="dxa" w:w="4320"/>
          </w:tcPr>
          <w:p>
            <w:r>
              <w:t>正文（twenty-fourth-round-delivery-report.md） / Word（twenty-fourth-round-delivery-report.docx）</w:t>
            </w:r>
          </w:p>
        </w:tc>
      </w:tr>
      <w:tr>
        <w:tc>
          <w:tcPr>
            <w:tcW w:type="dxa" w:w="4320"/>
          </w:tcPr>
          <w:p>
            <w:r>
              <w:t>输入原件</w:t>
            </w:r>
          </w:p>
        </w:tc>
        <w:tc>
          <w:tcPr>
            <w:tcW w:type="dxa" w:w="4320"/>
          </w:tcPr>
          <w:p>
            <w:r>
              <w:t>Word附件（inputs/round24-mentor-acceptance-requirements.docx）</w:t>
            </w:r>
          </w:p>
        </w:tc>
      </w:tr>
      <w:tr>
        <w:tc>
          <w:tcPr>
            <w:tcW w:type="dxa" w:w="4320"/>
          </w:tcPr>
          <w:p>
            <w:r>
              <w:t>当前源码核查</w:t>
            </w:r>
          </w:p>
        </w:tc>
        <w:tc>
          <w:tcPr>
            <w:tcW w:type="dxa" w:w="4320"/>
          </w:tcPr>
          <w:p>
            <w:r>
              <w:t>文件哈希与发现（acceptance/step6-round24/inspection-evidence.json）</w:t>
            </w:r>
          </w:p>
        </w:tc>
      </w:tr>
      <w:tr>
        <w:tc>
          <w:tcPr>
            <w:tcW w:type="dxa" w:w="4320"/>
          </w:tcPr>
          <w:p>
            <w:r>
              <w:t>当前工程验证</w:t>
            </w:r>
          </w:p>
        </w:tc>
        <w:tc>
          <w:tcPr>
            <w:tcW w:type="dxa" w:w="4320"/>
          </w:tcPr>
          <w:p>
            <w:r>
              <w:t>命令退出码（acceptance/step6-round24/engineering-checks.json）、Vitest原始结果（acceptance/step6-round24/test-results.json）、Playwright原始结果（acceptance/step6-round24/browser-results.json）</w:t>
            </w:r>
          </w:p>
        </w:tc>
      </w:tr>
      <w:tr>
        <w:tc>
          <w:tcPr>
            <w:tcW w:type="dxa" w:w="4320"/>
          </w:tcPr>
          <w:p>
            <w:r>
              <w:t>风险与放行门禁</w:t>
            </w:r>
          </w:p>
        </w:tc>
        <w:tc>
          <w:tcPr>
            <w:tcW w:type="dxa" w:w="4320"/>
          </w:tcPr>
          <w:p>
            <w:r>
              <w:t>结构化评估（acceptance/step6-round24/assessment.json）</w:t>
            </w:r>
          </w:p>
        </w:tc>
      </w:tr>
      <w:tr>
        <w:tc>
          <w:tcPr>
            <w:tcW w:type="dxa" w:w="4320"/>
          </w:tcPr>
          <w:p>
            <w:r>
              <w:t>纯内存边界核查</w:t>
            </w:r>
          </w:p>
        </w:tc>
        <w:tc>
          <w:tcPr>
            <w:tcW w:type="dxa" w:w="4320"/>
          </w:tcPr>
          <w:p>
            <w:r>
              <w:t>探针（acceptance/step6-round24/read-only-core-probes.json）</w:t>
            </w:r>
          </w:p>
        </w:tc>
      </w:tr>
      <w:tr>
        <w:tc>
          <w:tcPr>
            <w:tcW w:type="dxa" w:w="4320"/>
          </w:tcPr>
          <w:p>
            <w:r>
              <w:t>交付完整性</w:t>
            </w:r>
          </w:p>
        </w:tc>
        <w:tc>
          <w:tcPr>
            <w:tcW w:type="dxa" w:w="4320"/>
          </w:tcPr>
          <w:p>
            <w:r>
              <w:t>校验结果（acceptance/step6-round24/delivery-validation.json）</w:t>
            </w:r>
          </w:p>
        </w:tc>
      </w:tr>
    </w:tbl>
    <w:p>
      <w:pPr>
        <w:pStyle w:val="Heading2"/>
      </w:pPr>
      <w:r>
        <w:t>本轮实际执行检查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边界</w:t>
            </w:r>
          </w:p>
        </w:tc>
      </w:tr>
      <w:tr>
        <w:tc>
          <w:tcPr>
            <w:tcW w:type="dxa" w:w="2880"/>
          </w:tcPr>
          <w:p>
            <w:r>
              <w:t>npm run typecheck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共享包构建及所有工作区类型检查</w:t>
            </w:r>
          </w:p>
        </w:tc>
      </w:tr>
      <w:tr>
        <w:tc>
          <w:tcPr>
            <w:tcW w:type="dxa" w:w="2880"/>
          </w:tcPr>
          <w:p>
            <w:r>
              <w:t>npm run lint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现有静态规则</w:t>
            </w:r>
          </w:p>
        </w:tc>
      </w:tr>
      <w:tr>
        <w:tc>
          <w:tcPr>
            <w:tcW w:type="dxa" w:w="2880"/>
          </w:tcPr>
          <w:p>
            <w:r>
              <w:t>npm run format:check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文档归档后再次核对格式</w:t>
            </w:r>
          </w:p>
        </w:tc>
      </w:tr>
      <w:tr>
        <w:tc>
          <w:tcPr>
            <w:tcW w:type="dxa" w:w="2880"/>
          </w:tcPr>
          <w:p>
            <w:r>
              <w:t>Vitest 现有全套</w:t>
            </w:r>
          </w:p>
        </w:tc>
        <w:tc>
          <w:tcPr>
            <w:tcW w:type="dxa" w:w="2880"/>
          </w:tcPr>
          <w:p>
            <w:r>
              <w:t>435 通过，0 失败，0 跳过</w:t>
            </w:r>
          </w:p>
        </w:tc>
        <w:tc>
          <w:tcPr>
            <w:tcW w:type="dxa" w:w="2880"/>
          </w:tcPr>
          <w:p>
            <w:r>
              <w:t>包含真实隔离 PostgreSQL 17.7 和 Mock/本地 HTTP 模型；无真实模型调用</w:t>
            </w:r>
          </w:p>
        </w:tc>
      </w:tr>
      <w:tr>
        <w:tc>
          <w:tcPr>
            <w:tcW w:type="dxa" w:w="2880"/>
          </w:tcPr>
          <w:p>
            <w:r>
              <w:t>npm run build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全工作区构建</w:t>
            </w:r>
          </w:p>
        </w:tc>
      </w:tr>
      <w:tr>
        <w:tc>
          <w:tcPr>
            <w:tcW w:type="dxa" w:w="2880"/>
          </w:tcPr>
          <w:p>
            <w:r>
              <w:t>npm run test:browser</w:t>
            </w:r>
          </w:p>
        </w:tc>
        <w:tc>
          <w:tcPr>
            <w:tcW w:type="dxa" w:w="2880"/>
          </w:tcPr>
          <w:p>
            <w:r>
              <w:t>15 通过，0 失败，0 跳过，0 flaky</w:t>
            </w:r>
          </w:p>
        </w:tc>
        <w:tc>
          <w:tcPr>
            <w:tcW w:type="dxa" w:w="2880"/>
          </w:tcPr>
          <w:p>
            <w:r>
              <w:t>Chromium 合成账号业务与异常恢复验证</w:t>
            </w:r>
          </w:p>
        </w:tc>
      </w:tr>
      <w:tr>
        <w:tc>
          <w:tcPr>
            <w:tcW w:type="dxa" w:w="2880"/>
          </w:tcPr>
          <w:p>
            <w:r>
              <w:t>纯核心探针</w:t>
            </w:r>
          </w:p>
        </w:tc>
        <w:tc>
          <w:tcPr>
            <w:tcW w:type="dxa" w:w="2880"/>
          </w:tcPr>
          <w:p>
            <w:r>
              <w:t>5 次合法迁移均接受</w:t>
            </w:r>
          </w:p>
        </w:tc>
        <w:tc>
          <w:tcPr>
            <w:tcW w:type="dxa" w:w="2880"/>
          </w:tcPr>
          <w:p>
            <w:r>
              <w:t>证明有限大评分无默认范围、核心无聊天前置；未持久化到数据库</w:t>
            </w:r>
          </w:p>
        </w:tc>
      </w:tr>
      <w:tr>
        <w:tc>
          <w:tcPr>
            <w:tcW w:type="dxa" w:w="2880"/>
          </w:tcPr>
          <w:p>
            <w:r>
              <w:t>文档与 ZIP</w:t>
            </w:r>
          </w:p>
        </w:tc>
        <w:tc>
          <w:tcPr>
            <w:tcW w:type="dxa" w:w="2880"/>
          </w:tcPr>
          <w:p>
            <w:r>
              <w:t>交付前校验实际结果</w:t>
            </w:r>
          </w:p>
        </w:tc>
        <w:tc>
          <w:tcPr>
            <w:tcW w:type="dxa" w:w="2880"/>
          </w:tcPr>
          <w:p>
            <w:r>
              <w:t>Word可解析、JSON合法、链接存在、原件一致、代码未修改；归档完整性另核对</w:t>
            </w:r>
          </w:p>
        </w:tc>
      </w:tr>
    </w:tbl>
    <w:p>
      <w:r>
        <w:t>本次重新执行工程全套，共 450 项测试通过；不是引用历史计数。测试只使用自动创建并清理的隔离数据库与合成账号，不修改现有实验数据，不连接 WorkBuddy。运行时修改仅临时测试数据和忽略的构建输出；没有更改程序源码。</w:t>
      </w:r>
    </w:p>
    <w:p>
      <w:r>
        <w:t>本轮外部模型调用为 0，人工语言评分未执行，未邀请研究者或导师。此前一次 DeepSeek smoke 的成功副本保留为 历史接入证据（acceptance/step6-round24/prior-authorized-deepseek-smoke.json）；不把它报告成新调用或稳定性验收。首可见 token 2260.68ms，总响应 2277.17ms，HTTP 200。</w:t>
      </w:r>
    </w:p>
    <w:p>
      <w:r>
        <w:t>验收过程中产生的 expected fault、失败模型、超时、受阻、性能门禁失败等 JSON 是故障注入样本，测试预期为检测异常，不能与整个测试套件失败混淆；也不能把这些故障伪装成正常成功。</w:t>
      </w:r>
    </w:p>
    <w:p>
      <w:pPr>
        <w:pStyle w:val="Heading2"/>
      </w:pPr>
      <w:r>
        <w:t>当前验收实物</w:t>
      </w:r>
    </w:p>
    <w:p>
      <w:r>
        <w:t>本轮目录 docs/acceptance/step6-round24/ 包含路径数据库记录、业务/HTTP调用链、变量来源、结构一致性、干扰、超时/重启/租约恢复与合成压力结果。三条路径各 30 轮、6 个合成参与者各 5 轮并发测试（合计 120 轮、240 消息槽）等工程记录由现有测试重新生成，均不代表真实供应商负载能力。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本轮截图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participant-login.png（acceptance/step6-round24/participant-login.png）</w:t>
            </w:r>
          </w:p>
        </w:tc>
        <w:tc>
          <w:tcPr>
            <w:tcW w:type="dxa" w:w="4320"/>
          </w:tcPr>
          <w:p>
            <w:r>
              <w:t>合成账号登录页面</w:t>
            </w:r>
          </w:p>
        </w:tc>
      </w:tr>
      <w:tr>
        <w:tc>
          <w:tcPr>
            <w:tcW w:type="dxa" w:w="4320"/>
          </w:tcPr>
          <w:p>
            <w:r>
              <w:t>participant-chat.png（acceptance/step6-round24/participant-chat.png）</w:t>
            </w:r>
          </w:p>
        </w:tc>
        <w:tc>
          <w:tcPr>
            <w:tcW w:type="dxa" w:w="4320"/>
          </w:tcPr>
          <w:p>
            <w:r>
              <w:t>参与者原型对话</w:t>
            </w:r>
          </w:p>
        </w:tc>
      </w:tr>
      <w:tr>
        <w:tc>
          <w:tcPr>
            <w:tcW w:type="dxa" w:w="4320"/>
          </w:tcPr>
          <w:p>
            <w:r>
              <w:t>participant-refresh-recovery.png（acceptance/step6-round24/participant-refresh-recovery.png）</w:t>
            </w:r>
          </w:p>
        </w:tc>
        <w:tc>
          <w:tcPr>
            <w:tcW w:type="dxa" w:w="4320"/>
          </w:tcPr>
          <w:p>
            <w:r>
              <w:t>重载恢复</w:t>
            </w:r>
          </w:p>
        </w:tc>
      </w:tr>
      <w:tr>
        <w:tc>
          <w:tcPr>
            <w:tcW w:type="dxa" w:w="4320"/>
          </w:tcPr>
          <w:p>
            <w:r>
              <w:t>admin-read-only.png（acceptance/step6-round24/admin-read-only.png）</w:t>
            </w:r>
          </w:p>
        </w:tc>
        <w:tc>
          <w:tcPr>
            <w:tcW w:type="dxa" w:w="4320"/>
          </w:tcPr>
          <w:p>
            <w:r>
              <w:t>管理员只读查询</w:t>
            </w:r>
          </w:p>
        </w:tc>
      </w:tr>
      <w:tr>
        <w:tc>
          <w:tcPr>
            <w:tcW w:type="dxa" w:w="4320"/>
          </w:tcPr>
          <w:p>
            <w:r>
              <w:t>admin-development.png（acceptance/step6-round24/admin-development.png）</w:t>
            </w:r>
          </w:p>
        </w:tc>
        <w:tc>
          <w:tcPr>
            <w:tcW w:type="dxa" w:w="4320"/>
          </w:tcPr>
          <w:p>
            <w:r>
              <w:t>原始诊断展示</w:t>
            </w:r>
          </w:p>
        </w:tc>
      </w:tr>
      <w:tr>
        <w:tc>
          <w:tcPr>
            <w:tcW w:type="dxa" w:w="4320"/>
          </w:tcPr>
          <w:p>
            <w:r>
              <w:t>admin-stability.png（acceptance/step6-round24/admin-stability.png）</w:t>
            </w:r>
          </w:p>
        </w:tc>
        <w:tc>
          <w:tcPr>
            <w:tcW w:type="dxa" w:w="4320"/>
          </w:tcPr>
          <w:p>
            <w:r>
              <w:t>工程稳定性测试记录</w:t>
            </w:r>
          </w:p>
        </w:tc>
      </w:tr>
      <w:tr>
        <w:tc>
          <w:tcPr>
            <w:tcW w:type="dxa" w:w="4320"/>
          </w:tcPr>
          <w:p>
            <w:r>
              <w:t>admin-pilot-mode.png（acceptance/step6-round24/admin-pilot-mode.png）</w:t>
            </w:r>
          </w:p>
        </w:tc>
        <w:tc>
          <w:tcPr>
            <w:tcW w:type="dxa" w:w="4320"/>
          </w:tcPr>
          <w:p>
            <w:r>
              <w:t>内部模式原型，不代表pilot已批准</w:t>
            </w:r>
          </w:p>
        </w:tc>
      </w:tr>
    </w:tbl>
    <w:p>
      <w:r>
        <w:t>报告发现的评分、轮次、真实语义、情感材料、完整导出、前端超时和版本冻结缺口不会因工程测试通过而消失。当前导师最低标准未整体满足，mentor_test_ready=false，pilot_ready=false，formal_ready=false。</w:t>
      </w:r>
    </w:p>
    <w:p>
      <w:pPr>
        <w:pStyle w:val="Heading2"/>
      </w:pPr>
      <w:r>
        <w:t>下载与下一步</w:t>
      </w:r>
    </w:p>
    <w:p>
      <w:r>
        <w:t>所有文件提交到原 GitHub 仓库 main，最终回复提供本次固定提交的全项目 archive ZIP。ZIP 包括受版本控制的整个项目、反馈与报告 Word、原始附件、本轮验收 JSON/截图和历史成果；不内嵌另一个项目 ZIP，也不包含 node_modules、构建目录、.env 或环境密钥。</w:t>
      </w:r>
    </w:p>
    <w:p>
      <w:r>
        <w:t>点击“整个项目 ZIP”下载，解压后打开 docs/twenty-fourth-round-feedback.docx 与 docs/twenty-fourth-round-delivery-report.docx；不能预览 Word 时，可直接在 GitHub 阅读同名 Markdown。</w:t>
      </w:r>
    </w:p>
    <w:p>
      <w:r>
        <w:t>下一步等待用户确认必要修改项及具体范围。当前仅发布评估，不开始修复，不发放导师测试账号。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第24次交付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