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部署前检查与放行证据</w:t>
      </w:r>
    </w:p>
    <w:p>
      <w:r>
        <w:t>本轮为核价阶段，下面是验收定义，不是要求研究者现在执行多个动作。未取得证据均保持BLOCKED/NOT RUN；不创建资源、不运行模型压力测试、不修改研究逻辑。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门禁</w:t>
            </w:r>
          </w:p>
        </w:tc>
        <w:tc>
          <w:tcPr>
            <w:tcW w:type="dxa" w:w="2880"/>
          </w:tcPr>
          <w:p>
            <w:r>
              <w:t>必须取得的证据</w:t>
            </w:r>
          </w:p>
        </w:tc>
        <w:tc>
          <w:tcPr>
            <w:tcW w:type="dxa" w:w="2880"/>
          </w:tcPr>
          <w:p>
            <w:r>
              <w:t>当前状态</w:t>
            </w:r>
          </w:p>
        </w:tc>
      </w:tr>
      <w:tr>
        <w:tc>
          <w:tcPr>
            <w:tcW w:type="dxa" w:w="2880"/>
          </w:tcPr>
          <w:p>
            <w:r>
              <w:t>中国站支付资格</w:t>
            </w:r>
          </w:p>
        </w:tc>
        <w:tc>
          <w:tcPr>
            <w:tcW w:type="dxa" w:w="2880"/>
          </w:tcPr>
          <w:p>
            <w:r>
              <w:t>本人账户实际可用渠道/币种、实名与海外产品购买权限；不要求先充值证明</w:t>
            </w:r>
          </w:p>
        </w:tc>
        <w:tc>
          <w:tcPr>
            <w:tcW w:type="dxa" w:w="2880"/>
          </w:tcPr>
          <w:p>
            <w:r>
              <w:t>BLOCKED</w:t>
            </w:r>
          </w:p>
        </w:tc>
      </w:tr>
      <w:tr>
        <w:tc>
          <w:tcPr>
            <w:tcW w:type="dxa" w:w="2880"/>
          </w:tcPr>
          <w:p>
            <w:r>
              <w:t>地域与组合</w:t>
            </w:r>
          </w:p>
        </w:tc>
        <w:tc>
          <w:tcPr>
            <w:tcW w:type="dxa" w:w="2880"/>
          </w:tcPr>
          <w:p>
            <w:r>
              <w:t>同一获批地域SAE常驻、RDS PG、VPC互通；异地对象存储、入口和出口资格；实际可购买规格</w:t>
            </w:r>
          </w:p>
        </w:tc>
        <w:tc>
          <w:tcPr>
            <w:tcW w:type="dxa" w:w="2880"/>
          </w:tcPr>
          <w:p>
            <w:r>
              <w:t>BLOCKED</w:t>
            </w:r>
          </w:p>
        </w:tc>
      </w:tr>
      <w:tr>
        <w:tc>
          <w:tcPr>
            <w:tcW w:type="dxa" w:w="2880"/>
          </w:tcPr>
          <w:p>
            <w:r>
              <w:t>三档完整成本</w:t>
            </w:r>
          </w:p>
        </w:tc>
        <w:tc>
          <w:tcPr>
            <w:tcW w:type="dxa" w:w="2880"/>
          </w:tcPr>
          <w:p>
            <w:r>
              <w:t>每项单价/用量/周期/税、首购与续费、24个月累计，模型单列，维护责任明确</w:t>
            </w:r>
          </w:p>
        </w:tc>
        <w:tc>
          <w:tcPr>
            <w:tcW w:type="dxa" w:w="2880"/>
          </w:tcPr>
          <w:p>
            <w:r>
              <w:t>BLOCKED</w:t>
            </w:r>
          </w:p>
        </w:tc>
      </w:tr>
      <w:tr>
        <w:tc>
          <w:tcPr>
            <w:tcW w:type="dxa" w:w="2880"/>
          </w:tcPr>
          <w:p>
            <w:r>
              <w:t>明确购买授权</w:t>
            </w:r>
          </w:p>
        </w:tc>
        <w:tc>
          <w:tcPr>
            <w:tcW w:type="dxa" w:w="2880"/>
          </w:tcPr>
          <w:p>
            <w:r>
              <w:t>研究者批准具体平台、地区、规格、月费/24个月总价；不能由核价偏好代替</w:t>
            </w:r>
          </w:p>
        </w:tc>
        <w:tc>
          <w:tcPr>
            <w:tcW w:type="dxa" w:w="2880"/>
          </w:tcPr>
          <w:p>
            <w:r>
              <w:t>BLOCKED</w:t>
            </w:r>
          </w:p>
        </w:tc>
      </w:tr>
      <w:tr>
        <w:tc>
          <w:tcPr>
            <w:tcW w:type="dxa" w:w="2880"/>
          </w:tcPr>
          <w:p>
            <w:r>
              <w:t>正式材料与业务</w:t>
            </w:r>
          </w:p>
        </w:tc>
        <w:tc>
          <w:tcPr>
            <w:tcW w:type="dxa" w:w="2880"/>
          </w:tcPr>
          <w:p>
            <w:r>
              <w:t>正式版本/审批清单、知情同意与退出、数据保留；独立正式业务启动器，不能加载内部体验材料</w:t>
            </w:r>
          </w:p>
        </w:tc>
        <w:tc>
          <w:tcPr>
            <w:tcW w:type="dxa" w:w="2880"/>
          </w:tcPr>
          <w:p>
            <w:r>
              <w:t>BLOCKED</w:t>
            </w:r>
          </w:p>
        </w:tc>
      </w:tr>
      <w:tr>
        <w:tc>
          <w:tcPr>
            <w:tcW w:type="dxa" w:w="2880"/>
          </w:tcPr>
          <w:p>
            <w:r>
              <w:t>HTTPS与网络</w:t>
            </w:r>
          </w:p>
        </w:tc>
        <w:tc>
          <w:tcPr>
            <w:tcW w:type="dxa" w:w="2880"/>
          </w:tcPr>
          <w:p>
            <w:r>
              <w:t>实际平台生成URL、有效TLS、静态资源、/api/ready及mode字段；预备模式健康不代表formal_ready</w:t>
            </w:r>
          </w:p>
        </w:tc>
        <w:tc>
          <w:tcPr>
            <w:tcW w:type="dxa" w:w="2880"/>
          </w:tcPr>
          <w:p>
            <w:r>
              <w:t>NOT RUN</w:t>
            </w:r>
          </w:p>
        </w:tc>
      </w:tr>
      <w:tr>
        <w:tc>
          <w:tcPr>
            <w:tcW w:type="dxa" w:w="2880"/>
          </w:tcPr>
          <w:p>
            <w:r>
              <w:t>持久化/数据库隔离</w:t>
            </w:r>
          </w:p>
        </w:tc>
        <w:tc>
          <w:tcPr>
            <w:tcW w:type="dxa" w:w="2880"/>
          </w:tcPr>
          <w:p>
            <w:r>
              <w:t>新Production资源、独立凭据/种子；只读盘点旧资源；刷新、重登、Web重启后保存记录一致</w:t>
            </w:r>
          </w:p>
        </w:tc>
        <w:tc>
          <w:tcPr>
            <w:tcW w:type="dxa" w:w="2880"/>
          </w:tcPr>
          <w:p>
            <w:r>
              <w:t>NOT RUN</w:t>
            </w:r>
          </w:p>
        </w:tc>
      </w:tr>
      <w:tr>
        <w:tc>
          <w:tcPr>
            <w:tcW w:type="dxa" w:w="2880"/>
          </w:tcPr>
          <w:p>
            <w:r>
              <w:t>参与者/管理员权限</w:t>
            </w:r>
          </w:p>
        </w:tc>
        <w:tc>
          <w:tcPr>
            <w:tcW w:type="dxa" w:w="2880"/>
          </w:tcPr>
          <w:p>
            <w:r>
              <w:t>参与者只能读己方记录，无后台/导出/Secret；管理员导出有审计且complete=true、与数据库一致</w:t>
            </w:r>
          </w:p>
        </w:tc>
        <w:tc>
          <w:tcPr>
            <w:tcW w:type="dxa" w:w="2880"/>
          </w:tcPr>
          <w:p>
            <w:r>
              <w:t>NOT RUN（线上）</w:t>
            </w:r>
          </w:p>
        </w:tc>
      </w:tr>
      <w:tr>
        <w:tc>
          <w:tcPr>
            <w:tcW w:type="dxa" w:w="2880"/>
          </w:tcPr>
          <w:p>
            <w:r>
              <w:t>至少30会话容量</w:t>
            </w:r>
          </w:p>
        </w:tc>
        <w:tc>
          <w:tcPr>
            <w:tcW w:type="dxa" w:w="2880"/>
          </w:tcPr>
          <w:p>
            <w:r>
              <w:t>托管真实HTTP/SQL+模拟模型30独立身份、三条路径，再获批真实模型并发；无跨人泄露/丢失/重复/无限等待</w:t>
            </w:r>
          </w:p>
        </w:tc>
        <w:tc>
          <w:tcPr>
            <w:tcW w:type="dxa" w:w="2880"/>
          </w:tcPr>
          <w:p>
            <w:r>
              <w:t>NOT RUN（托管/真实模型）</w:t>
            </w:r>
          </w:p>
        </w:tc>
      </w:tr>
      <w:tr>
        <w:tc>
          <w:tcPr>
            <w:tcW w:type="dxa" w:w="2880"/>
          </w:tcPr>
          <w:p>
            <w:r>
              <w:t>端到端性能</w:t>
            </w:r>
          </w:p>
        </w:tc>
        <w:tc>
          <w:tcPr>
            <w:tcW w:type="dxa" w:w="2880"/>
          </w:tcPr>
          <w:p>
            <w:r>
              <w:t>登录/消息/状态/导出分开计量，P50/P95/max、CPU/RSS、PG连接/锁等待/事务、模板/重试/兜底分开；P95目标20秒不过就如实报告</w:t>
            </w:r>
          </w:p>
        </w:tc>
        <w:tc>
          <w:tcPr>
            <w:tcW w:type="dxa" w:w="2880"/>
          </w:tcPr>
          <w:p>
            <w:r>
              <w:t>NOT RUN</w:t>
            </w:r>
          </w:p>
        </w:tc>
      </w:tr>
      <w:tr>
        <w:tc>
          <w:tcPr>
            <w:tcW w:type="dxa" w:w="2880"/>
          </w:tcPr>
          <w:p>
            <w:r>
              <w:t>供应商能力与预算</w:t>
            </w:r>
          </w:p>
        </w:tc>
        <w:tc>
          <w:tcPr>
            <w:tcW w:type="dxa" w:w="2880"/>
          </w:tcPr>
          <w:p>
            <w:r>
              <w:t>实际API地址/模型ID、RPM/TPM/并发配额、请求/token/金额硬上限与停止条件；错误/失败请求可能收费</w:t>
            </w:r>
          </w:p>
        </w:tc>
        <w:tc>
          <w:tcPr>
            <w:tcW w:type="dxa" w:w="2880"/>
          </w:tcPr>
          <w:p>
            <w:r>
              <w:t>BLOCKED</w:t>
            </w:r>
          </w:p>
        </w:tc>
      </w:tr>
      <w:tr>
        <w:tc>
          <w:tcPr>
            <w:tcW w:type="dxa" w:w="2880"/>
          </w:tcPr>
          <w:p>
            <w:r>
              <w:t>平台自动备份/PITR</w:t>
            </w:r>
          </w:p>
        </w:tc>
        <w:tc>
          <w:tcPr>
            <w:tcW w:type="dxa" w:w="2880"/>
          </w:tcPr>
          <w:p>
            <w:r>
              <w:t>实际窗口、备份额度/超量费、时间点恢复流程和演练</w:t>
            </w:r>
          </w:p>
        </w:tc>
        <w:tc>
          <w:tcPr>
            <w:tcW w:type="dxa" w:w="2880"/>
          </w:tcPr>
          <w:p>
            <w:r>
              <w:t>NOT RUN</w:t>
            </w:r>
          </w:p>
        </w:tc>
      </w:tr>
      <w:tr>
        <w:tc>
          <w:tcPr>
            <w:tcW w:type="dxa" w:w="2880"/>
          </w:tcPr>
          <w:p>
            <w:r>
              <w:t>独立异地备份</w:t>
            </w:r>
          </w:p>
        </w:tc>
        <w:tc>
          <w:tcPr>
            <w:tcW w:type="dxa" w:w="2880"/>
          </w:tcPr>
          <w:p>
            <w:r>
              <w:t>运行器依赖、日调度、最小权限、私有存储/版本/加密、地区、密钥保管、保留/删除策略、实际成功对象</w:t>
            </w:r>
          </w:p>
        </w:tc>
        <w:tc>
          <w:tcPr>
            <w:tcW w:type="dxa" w:w="2880"/>
          </w:tcPr>
          <w:p>
            <w:r>
              <w:t>NOT RUN</w:t>
            </w:r>
          </w:p>
        </w:tc>
      </w:tr>
      <w:tr>
        <w:tc>
          <w:tcPr>
            <w:tcW w:type="dxa" w:w="2880"/>
          </w:tcPr>
          <w:p>
            <w:r>
              <w:t>告警/缺失心跳</w:t>
            </w:r>
          </w:p>
        </w:tc>
        <w:tc>
          <w:tcPr>
            <w:tcW w:type="dxa" w:w="2880"/>
          </w:tcPr>
          <w:p>
            <w:r>
              <w:t>真实失败通知送达、通知失败仍报错、超过时间无备份独立告警、指定值守人</w:t>
            </w:r>
          </w:p>
        </w:tc>
        <w:tc>
          <w:tcPr>
            <w:tcW w:type="dxa" w:w="2880"/>
          </w:tcPr>
          <w:p>
            <w:r>
              <w:t>NOT RUN</w:t>
            </w:r>
          </w:p>
        </w:tc>
      </w:tr>
      <w:tr>
        <w:tc>
          <w:tcPr>
            <w:tcW w:type="dxa" w:w="2880"/>
          </w:tcPr>
          <w:p>
            <w:r>
              <w:t>真实异地恢复</w:t>
            </w:r>
          </w:p>
        </w:tc>
        <w:tc>
          <w:tcPr>
            <w:tcW w:type="dxa" w:w="2880"/>
          </w:tcPr>
          <w:p>
            <w:r>
              <w:t>从备份地区下载密文到全新隔离库；计数/约束、消息/状态/变量/模型日志、权限和完整导出；季度演练</w:t>
            </w:r>
          </w:p>
        </w:tc>
        <w:tc>
          <w:tcPr>
            <w:tcW w:type="dxa" w:w="2880"/>
          </w:tcPr>
          <w:p>
            <w:r>
              <w:t>NOT RUN</w:t>
            </w:r>
          </w:p>
        </w:tc>
      </w:tr>
      <w:tr>
        <w:tc>
          <w:tcPr>
            <w:tcW w:type="dxa" w:w="2880"/>
          </w:tcPr>
          <w:p>
            <w:r>
              <w:t>本人及人工</w:t>
            </w:r>
          </w:p>
        </w:tc>
        <w:tc>
          <w:tcPr>
            <w:tcW w:type="dxa" w:w="2880"/>
          </w:tcPr>
          <w:p>
            <w:r>
              <w:t>两模型×三路径6次自由体验，40条语言评分与问题整改；研究者亲自签署</w:t>
            </w:r>
          </w:p>
        </w:tc>
        <w:tc>
          <w:tcPr>
            <w:tcW w:type="dxa" w:w="2880"/>
          </w:tcPr>
          <w:p>
            <w:r>
              <w:t>NOT RUN，0/40</w:t>
            </w:r>
          </w:p>
        </w:tc>
      </w:tr>
      <w:tr>
        <w:tc>
          <w:tcPr>
            <w:tcW w:type="dxa" w:w="2880"/>
          </w:tcPr>
          <w:p>
            <w:r>
              <w:t>导师/正式放行</w:t>
            </w:r>
          </w:p>
        </w:tc>
        <w:tc>
          <w:tcPr>
            <w:tcW w:type="dxa" w:w="2880"/>
          </w:tcPr>
          <w:p>
            <w:r>
              <w:t>研究者综合线上、数据安全、语言体验及审批决定，不由测试数自动开启</w:t>
            </w:r>
          </w:p>
        </w:tc>
        <w:tc>
          <w:tcPr>
            <w:tcW w:type="dxa" w:w="2880"/>
          </w:tcPr>
          <w:p>
            <w:r>
              <w:t>BLOCKED，均false</w:t>
            </w:r>
          </w:p>
        </w:tc>
      </w:tr>
    </w:tbl>
    <w:p>
      <w:pPr>
        <w:pStyle w:val="Heading2"/>
      </w:pPr>
      <w:r>
        <w:t>三档规格为何仍需验证30人</w:t>
      </w:r>
    </w:p>
    <w:p>
      <w:r>
        <w:t>30个活跃会话主要涉及异步模型等待、HTTP连接和短事务，并不机械等于30个CPU核心；但低CPU也不保证容量。上一轮本地模拟模型延迟200ms、进程峰值约289MiB、PG池10连接、峰值等待49，属于合成证据，不能预测真实GPT/DeepSeek在网络等待、重试、导出或内存增长时的表现。</w:t>
      </w:r>
    </w:p>
    <w:p>
      <w:r>
        <w:t>三档仅提供递增核价起点：单Web最低候选、较大单实例建议候选、双实例较稳健候选。双实例时原池若各10，应用连接可到20，还需为迁移、备份、监控和管理预留；先核对RDS实际连接限制和锁等待，不盲目扩大连接池。双实例还需验证跨实例幂等、会话恢复和滚动重启，不能靠负载均衡名称推断支持。</w:t>
      </w:r>
    </w:p>
    <w:p>
      <w:r>
        <w:t>模型配额与计费上限独立于Web/DB。批准后先托管HTTP/SQL模拟测试，再编制真实请求/token/金额硬限额的执行器与预案，经研究者明确授权后才实测。当前未执行、未取得可验证的供应商配额和单价，不先用真实压力请求探配额。</w:t>
      </w:r>
    </w:p>
    <w:p>
      <w:pPr>
        <w:pStyle w:val="Heading2"/>
      </w:pPr>
      <w:r>
        <w:t>数据管理</w:t>
      </w:r>
    </w:p>
    <w:p>
      <w:r>
        <w:t>两年是运行目标，不自动批准保存所有个人数据两年。主库/导出/备份期限、最小化、退出/撤回、访问人员和事故处理需研究者批准；现有B001/B002不转为正式招募，不删除或覆盖已有数据。API Key、连接串、管理员凭据、参与者凭据与真实对话不进GitHub或本轮ZIP。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round36-predeployment-checklist</dc:title>
  <dc:subject/>
  <dc:creator>AI Agent Research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