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三档人民币24个月成本表：待控制台核价</w:t>
      </w:r>
    </w:p>
    <w:p>
      <w:r>
        <w:t>报价收集日期：2026-10-20。本轮没有获得官方价格或账户费用预览，以下规格都是比较用目标，不是已确认存在的商品SKU，也不是通过30人并发的保证。所有未验证金额为“待控制台核价”，JSON中为null。 不让研究者在这些值未知时决定预算。</w:t>
      </w:r>
    </w:p>
    <w:p>
      <w:pPr>
        <w:pStyle w:val="Heading2"/>
      </w:pPr>
      <w:r>
        <w:t>相同的核价口径</w:t>
      </w:r>
    </w:p>
    <w:p>
      <w:r>
        <w:t>目标主地域Singapore，独立Production资源、Web常驻不缩容到0，独立托管PG与自动PITR，再另配不同获批地区的私有加密逻辑备份。每月730小时只是对比假设，最终按实际账期/包年计费，不把促销首月乘24；24个月运行不等于个人数据须保留24个月。</w:t>
      </w:r>
    </w:p>
    <w:p>
      <w:r>
        <w:t>统一备份比较负载：假定每份加密全量5GiB，30每日+最多24月归档约270GiB逻辑副本容量，只用于询价，实际大小/增长未知；版本历史、请求、跨区/下载流量、恢复演练和最低计费单位另加。月归档期限须获伦理/数据管理批准；270GiB不是实际逐月用量，不直接按最大容量乘24冒充总价。</w:t>
      </w:r>
    </w:p>
    <w:p>
      <w:pPr>
        <w:pStyle w:val="Heading2"/>
      </w:pPr>
      <w:r>
        <w:t>三档起始规格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①最低成本候选</w:t>
            </w:r>
          </w:p>
        </w:tc>
        <w:tc>
          <w:tcPr>
            <w:tcW w:type="dxa" w:w="2160"/>
          </w:tcPr>
          <w:p>
            <w:r>
              <w:t>②建议核价候选</w:t>
            </w:r>
          </w:p>
        </w:tc>
        <w:tc>
          <w:tcPr>
            <w:tcW w:type="dxa" w:w="2160"/>
          </w:tcPr>
          <w:p>
            <w:r>
              <w:t>③较稳健候选</w:t>
            </w:r>
          </w:p>
        </w:tc>
      </w:tr>
      <w:tr>
        <w:tc>
          <w:tcPr>
            <w:tcW w:type="dxa" w:w="2160"/>
          </w:tcPr>
          <w:p>
            <w:r>
              <w:t>SAE Web</w:t>
            </w:r>
          </w:p>
        </w:tc>
        <w:tc>
          <w:tcPr>
            <w:tcW w:type="dxa" w:w="2160"/>
          </w:tcPr>
          <w:p>
            <w:r>
              <w:t>1vCPU/2GiB×1，最小实例1</w:t>
            </w:r>
          </w:p>
        </w:tc>
        <w:tc>
          <w:tcPr>
            <w:tcW w:type="dxa" w:w="2160"/>
          </w:tcPr>
          <w:p>
            <w:r>
              <w:t>2vCPU/4GiB×1，最小实例1</w:t>
            </w:r>
          </w:p>
        </w:tc>
        <w:tc>
          <w:tcPr>
            <w:tcW w:type="dxa" w:w="2160"/>
          </w:tcPr>
          <w:p>
            <w:r>
              <w:t>2vCPU/4GiB×2，最小实例2</w:t>
            </w:r>
          </w:p>
        </w:tc>
      </w:tr>
      <w:tr>
        <w:tc>
          <w:tcPr>
            <w:tcW w:type="dxa" w:w="2160"/>
          </w:tcPr>
          <w:p>
            <w:r>
              <w:t>独立RDS PostgreSQL</w:t>
            </w:r>
          </w:p>
        </w:tc>
        <w:tc>
          <w:tcPr>
            <w:tcW w:type="dxa" w:w="2160"/>
          </w:tcPr>
          <w:p>
            <w:r>
              <w:t>目标2vCPU/4GiB、高可用、40GiB起</w:t>
            </w:r>
          </w:p>
        </w:tc>
        <w:tc>
          <w:tcPr>
            <w:tcW w:type="dxa" w:w="2160"/>
          </w:tcPr>
          <w:p>
            <w:r>
              <w:t>目标2vCPU/8GiB、高可用、100GiB起</w:t>
            </w:r>
          </w:p>
        </w:tc>
        <w:tc>
          <w:tcPr>
            <w:tcW w:type="dxa" w:w="2160"/>
          </w:tcPr>
          <w:p>
            <w:r>
              <w:t>目标4vCPU/16GiB、高可用、200GiB起</w:t>
            </w:r>
          </w:p>
        </w:tc>
      </w:tr>
      <w:tr>
        <w:tc>
          <w:tcPr>
            <w:tcW w:type="dxa" w:w="2160"/>
          </w:tcPr>
          <w:p>
            <w:r>
              <w:t>PITR</w:t>
            </w:r>
          </w:p>
        </w:tc>
        <w:tc>
          <w:tcPr>
            <w:tcW w:type="dxa" w:w="2160"/>
          </w:tcPr>
          <w:p>
            <w:r>
              <w:t>查实际可用窗口/备份配额/超量价</w:t>
            </w:r>
          </w:p>
        </w:tc>
        <w:tc>
          <w:tcPr>
            <w:tcW w:type="dxa" w:w="2160"/>
          </w:tcPr>
          <w:p>
            <w:r>
              <w:t>同左，按恢复目标选窗口</w:t>
            </w:r>
          </w:p>
        </w:tc>
        <w:tc>
          <w:tcPr>
            <w:tcW w:type="dxa" w:w="2160"/>
          </w:tcPr>
          <w:p>
            <w:r>
              <w:t>同左，并核对更高恢复目标；不假设自动有异地容灾</w:t>
            </w:r>
          </w:p>
        </w:tc>
      </w:tr>
      <w:tr>
        <w:tc>
          <w:tcPr>
            <w:tcW w:type="dxa" w:w="2160"/>
          </w:tcPr>
          <w:p>
            <w:r>
              <w:t>异地加密对象备份</w:t>
            </w:r>
          </w:p>
        </w:tc>
        <w:tc>
          <w:tcPr>
            <w:tcW w:type="dxa" w:w="2160"/>
          </w:tcPr>
          <w:p>
            <w:r>
              <w:t>统一5GiB/份核价负载，异地私有</w:t>
            </w:r>
          </w:p>
        </w:tc>
        <w:tc>
          <w:tcPr>
            <w:tcW w:type="dxa" w:w="2160"/>
          </w:tcPr>
          <w:p>
            <w:r>
              <w:t>同左</w:t>
            </w:r>
          </w:p>
        </w:tc>
        <w:tc>
          <w:tcPr>
            <w:tcW w:type="dxa" w:w="2160"/>
          </w:tcPr>
          <w:p>
            <w:r>
              <w:t>同左，额外恢复/容量需求须明列</w:t>
            </w:r>
          </w:p>
        </w:tc>
      </w:tr>
      <w:tr>
        <w:tc>
          <w:tcPr>
            <w:tcW w:type="dxa" w:w="2160"/>
          </w:tcPr>
          <w:p>
            <w:r>
              <w:t>Web可用性</w:t>
            </w:r>
          </w:p>
        </w:tc>
        <w:tc>
          <w:tcPr>
            <w:tcW w:type="dxa" w:w="2160"/>
          </w:tcPr>
          <w:p>
            <w:r>
              <w:t>单Web实例是单点，维护/重启可能中断</w:t>
            </w:r>
          </w:p>
        </w:tc>
        <w:tc>
          <w:tcPr>
            <w:tcW w:type="dxa" w:w="2160"/>
          </w:tcPr>
          <w:p>
            <w:r>
              <w:t>单实例仍非高可用；先验证30人容量</w:t>
            </w:r>
          </w:p>
        </w:tc>
        <w:tc>
          <w:tcPr>
            <w:tcW w:type="dxa" w:w="2160"/>
          </w:tcPr>
          <w:p>
            <w:r>
              <w:t>两实例只是候选，需会话跨实例与滚动重启验证</w:t>
            </w:r>
          </w:p>
        </w:tc>
      </w:tr>
      <w:tr>
        <w:tc>
          <w:tcPr>
            <w:tcW w:type="dxa" w:w="2160"/>
          </w:tcPr>
          <w:p>
            <w:r>
              <w:t>30并发结论</w:t>
            </w:r>
          </w:p>
        </w:tc>
        <w:tc>
          <w:tcPr>
            <w:tcW w:type="dxa" w:w="2160"/>
          </w:tcPr>
          <w:p>
            <w:r>
              <w:t>待实测，不可称最低已达标方案</w:t>
            </w:r>
          </w:p>
        </w:tc>
        <w:tc>
          <w:tcPr>
            <w:tcW w:type="dxa" w:w="2160"/>
          </w:tcPr>
          <w:p>
            <w:r>
              <w:t>待实测，不保证规格已足够</w:t>
            </w:r>
          </w:p>
        </w:tc>
        <w:tc>
          <w:tcPr>
            <w:tcW w:type="dxa" w:w="2160"/>
          </w:tcPr>
          <w:p>
            <w:r>
              <w:t>待实测，不用更大数字替代验收</w:t>
            </w:r>
          </w:p>
        </w:tc>
      </w:tr>
    </w:tbl>
    <w:p>
      <w:r>
        <w:t>如果账户没有该CPU/内存组合、PG版本、高可用/地区或常驻模式，应记录真实可选项再调整报价；不自动换地区或更改研究规则。最低档若不满足常开、持久化、HTTPS、PITR和异地备份，不算可行方案，必须剔除重报。</w:t>
      </w:r>
    </w:p>
    <w:p>
      <w:pPr>
        <w:pStyle w:val="Heading2"/>
      </w:pPr>
      <w:r>
        <w:t>每档费用拆分（单位：人民币）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成本项目</w:t>
            </w:r>
          </w:p>
        </w:tc>
        <w:tc>
          <w:tcPr>
            <w:tcW w:type="dxa" w:w="1728"/>
          </w:tcPr>
          <w:p>
            <w:r>
              <w:t>①最低成本候选</w:t>
            </w:r>
          </w:p>
        </w:tc>
        <w:tc>
          <w:tcPr>
            <w:tcW w:type="dxa" w:w="1728"/>
          </w:tcPr>
          <w:p>
            <w:r>
              <w:t>②建议候选</w:t>
            </w:r>
          </w:p>
        </w:tc>
        <w:tc>
          <w:tcPr>
            <w:tcW w:type="dxa" w:w="1728"/>
          </w:tcPr>
          <w:p>
            <w:r>
              <w:t>③较稳健候选</w:t>
            </w:r>
          </w:p>
        </w:tc>
        <w:tc>
          <w:tcPr>
            <w:tcW w:type="dxa" w:w="1728"/>
          </w:tcPr>
          <w:p>
            <w:r>
              <w:t>核价时必须记录</w:t>
            </w:r>
          </w:p>
        </w:tc>
      </w:tr>
      <w:tr>
        <w:tc>
          <w:tcPr>
            <w:tcW w:type="dxa" w:w="1728"/>
          </w:tcPr>
          <w:p>
            <w:r>
              <w:t>Web计算/常驻实例</w:t>
            </w:r>
          </w:p>
        </w:tc>
        <w:tc>
          <w:tcPr>
            <w:tcW w:type="dxa" w:w="1728"/>
          </w:tcPr>
          <w:p>
            <w:r>
              <w:t>待控制台核价</w:t>
            </w:r>
          </w:p>
        </w:tc>
        <w:tc>
          <w:tcPr>
            <w:tcW w:type="dxa" w:w="1728"/>
          </w:tcPr>
          <w:p>
            <w:r>
              <w:t>待控制台核价</w:t>
            </w:r>
          </w:p>
        </w:tc>
        <w:tc>
          <w:tcPr>
            <w:tcW w:type="dxa" w:w="1728"/>
          </w:tcPr>
          <w:p>
            <w:r>
              <w:t>待控制台核价</w:t>
            </w:r>
          </w:p>
        </w:tc>
        <w:tc>
          <w:tcPr>
            <w:tcW w:type="dxa" w:w="1728"/>
          </w:tcPr>
          <w:p>
            <w:r>
              <w:t>CPU/内存/实例数、小时或资源包、活跃/空闲规则</w:t>
            </w:r>
          </w:p>
        </w:tc>
      </w:tr>
      <w:tr>
        <w:tc>
          <w:tcPr>
            <w:tcW w:type="dxa" w:w="1728"/>
          </w:tcPr>
          <w:p>
            <w:r>
              <w:t>DB计算+存储</w:t>
            </w:r>
          </w:p>
        </w:tc>
        <w:tc>
          <w:tcPr>
            <w:tcW w:type="dxa" w:w="1728"/>
          </w:tcPr>
          <w:p>
            <w:r>
              <w:t>待控制台核价</w:t>
            </w:r>
          </w:p>
        </w:tc>
        <w:tc>
          <w:tcPr>
            <w:tcW w:type="dxa" w:w="1728"/>
          </w:tcPr>
          <w:p>
            <w:r>
              <w:t>待控制台核价</w:t>
            </w:r>
          </w:p>
        </w:tc>
        <w:tc>
          <w:tcPr>
            <w:tcW w:type="dxa" w:w="1728"/>
          </w:tcPr>
          <w:p>
            <w:r>
              <w:t>待控制台核价</w:t>
            </w:r>
          </w:p>
        </w:tc>
        <w:tc>
          <w:tcPr>
            <w:tcW w:type="dxa" w:w="1728"/>
          </w:tcPr>
          <w:p>
            <w:r>
              <w:t>实际规格/版本/高可用、容量、IO与连接上限</w:t>
            </w:r>
          </w:p>
        </w:tc>
      </w:tr>
      <w:tr>
        <w:tc>
          <w:tcPr>
            <w:tcW w:type="dxa" w:w="1728"/>
          </w:tcPr>
          <w:p>
            <w:r>
              <w:t>托管DB自动备份/PITR</w:t>
            </w:r>
          </w:p>
        </w:tc>
        <w:tc>
          <w:tcPr>
            <w:tcW w:type="dxa" w:w="1728"/>
          </w:tcPr>
          <w:p>
            <w:r>
              <w:t>待控制台核价</w:t>
            </w:r>
          </w:p>
        </w:tc>
        <w:tc>
          <w:tcPr>
            <w:tcW w:type="dxa" w:w="1728"/>
          </w:tcPr>
          <w:p>
            <w:r>
              <w:t>待控制台核价</w:t>
            </w:r>
          </w:p>
        </w:tc>
        <w:tc>
          <w:tcPr>
            <w:tcW w:type="dxa" w:w="1728"/>
          </w:tcPr>
          <w:p>
            <w:r>
              <w:t>待控制台核价</w:t>
            </w:r>
          </w:p>
        </w:tc>
        <w:tc>
          <w:tcPr>
            <w:tcW w:type="dxa" w:w="1728"/>
          </w:tcPr>
          <w:p>
            <w:r>
              <w:t>窗口、频率、免费额度和超量，不并入异地逻辑备份</w:t>
            </w:r>
          </w:p>
        </w:tc>
      </w:tr>
      <w:tr>
        <w:tc>
          <w:tcPr>
            <w:tcW w:type="dxa" w:w="1728"/>
          </w:tcPr>
          <w:p>
            <w:r>
              <w:t>异地备份存储+请求</w:t>
            </w:r>
          </w:p>
        </w:tc>
        <w:tc>
          <w:tcPr>
            <w:tcW w:type="dxa" w:w="1728"/>
          </w:tcPr>
          <w:p>
            <w:r>
              <w:t>待控制台核价</w:t>
            </w:r>
          </w:p>
        </w:tc>
        <w:tc>
          <w:tcPr>
            <w:tcW w:type="dxa" w:w="1728"/>
          </w:tcPr>
          <w:p>
            <w:r>
              <w:t>待控制台核价</w:t>
            </w:r>
          </w:p>
        </w:tc>
        <w:tc>
          <w:tcPr>
            <w:tcW w:type="dxa" w:w="1728"/>
          </w:tcPr>
          <w:p>
            <w:r>
              <w:t>待控制台核价</w:t>
            </w:r>
          </w:p>
        </w:tc>
        <w:tc>
          <w:tcPr>
            <w:tcW w:type="dxa" w:w="1728"/>
          </w:tcPr>
          <w:p>
            <w:r>
              <w:t>存储类别、版本历史、PUT/GET/LIST、取回费</w:t>
            </w:r>
          </w:p>
        </w:tc>
      </w:tr>
      <w:tr>
        <w:tc>
          <w:tcPr>
            <w:tcW w:type="dxa" w:w="1728"/>
          </w:tcPr>
          <w:p>
            <w:r>
              <w:t>备份运行器/调度/流量</w:t>
            </w:r>
          </w:p>
        </w:tc>
        <w:tc>
          <w:tcPr>
            <w:tcW w:type="dxa" w:w="1728"/>
          </w:tcPr>
          <w:p>
            <w:r>
              <w:t>待控制台核价</w:t>
            </w:r>
          </w:p>
        </w:tc>
        <w:tc>
          <w:tcPr>
            <w:tcW w:type="dxa" w:w="1728"/>
          </w:tcPr>
          <w:p>
            <w:r>
              <w:t>待控制台核价</w:t>
            </w:r>
          </w:p>
        </w:tc>
        <w:tc>
          <w:tcPr>
            <w:tcW w:type="dxa" w:w="1728"/>
          </w:tcPr>
          <w:p>
            <w:r>
              <w:t>待控制台核价</w:t>
            </w:r>
          </w:p>
        </w:tc>
        <w:tc>
          <w:tcPr>
            <w:tcW w:type="dxa" w:w="1728"/>
          </w:tcPr>
          <w:p>
            <w:r>
              <w:t>PG17/Node24运行器、跨区/出网及季度演练</w:t>
            </w:r>
          </w:p>
        </w:tc>
      </w:tr>
      <w:tr>
        <w:tc>
          <w:tcPr>
            <w:tcW w:type="dxa" w:w="1728"/>
          </w:tcPr>
          <w:p>
            <w:r>
              <w:t>网关/出口/域名/HTTPS</w:t>
            </w:r>
          </w:p>
        </w:tc>
        <w:tc>
          <w:tcPr>
            <w:tcW w:type="dxa" w:w="1728"/>
          </w:tcPr>
          <w:p>
            <w:r>
              <w:t>待控制台核价</w:t>
            </w:r>
          </w:p>
        </w:tc>
        <w:tc>
          <w:tcPr>
            <w:tcW w:type="dxa" w:w="1728"/>
          </w:tcPr>
          <w:p>
            <w:r>
              <w:t>待控制台核价</w:t>
            </w:r>
          </w:p>
        </w:tc>
        <w:tc>
          <w:tcPr>
            <w:tcW w:type="dxa" w:w="1728"/>
          </w:tcPr>
          <w:p>
            <w:r>
              <w:t>待控制台核价</w:t>
            </w:r>
          </w:p>
        </w:tc>
        <w:tc>
          <w:tcPr>
            <w:tcW w:type="dxa" w:w="1728"/>
          </w:tcPr>
          <w:p>
            <w:r>
              <w:t>公网入口、NAT/出口、公网带宽、证书、域名续费</w:t>
            </w:r>
          </w:p>
        </w:tc>
      </w:tr>
      <w:tr>
        <w:tc>
          <w:tcPr>
            <w:tcW w:type="dxa" w:w="1728"/>
          </w:tcPr>
          <w:p>
            <w:r>
              <w:t>日志/监控/告警</w:t>
            </w:r>
          </w:p>
        </w:tc>
        <w:tc>
          <w:tcPr>
            <w:tcW w:type="dxa" w:w="1728"/>
          </w:tcPr>
          <w:p>
            <w:r>
              <w:t>待控制台核价</w:t>
            </w:r>
          </w:p>
        </w:tc>
        <w:tc>
          <w:tcPr>
            <w:tcW w:type="dxa" w:w="1728"/>
          </w:tcPr>
          <w:p>
            <w:r>
              <w:t>待控制台核价</w:t>
            </w:r>
          </w:p>
        </w:tc>
        <w:tc>
          <w:tcPr>
            <w:tcW w:type="dxa" w:w="1728"/>
          </w:tcPr>
          <w:p>
            <w:r>
              <w:t>待控制台核价</w:t>
            </w:r>
          </w:p>
        </w:tc>
        <w:tc>
          <w:tcPr>
            <w:tcW w:type="dxa" w:w="1728"/>
          </w:tcPr>
          <w:p>
            <w:r>
              <w:t>日志用量/保留、指标、告警通知及心跳监测</w:t>
            </w:r>
          </w:p>
        </w:tc>
      </w:tr>
      <w:tr>
        <w:tc>
          <w:tcPr>
            <w:tcW w:type="dxa" w:w="1728"/>
          </w:tcPr>
          <w:p>
            <w:r>
              <w:t>税费</w:t>
            </w:r>
          </w:p>
        </w:tc>
        <w:tc>
          <w:tcPr>
            <w:tcW w:type="dxa" w:w="1728"/>
          </w:tcPr>
          <w:p>
            <w:r>
              <w:t>待控制台核价</w:t>
            </w:r>
          </w:p>
        </w:tc>
        <w:tc>
          <w:tcPr>
            <w:tcW w:type="dxa" w:w="1728"/>
          </w:tcPr>
          <w:p>
            <w:r>
              <w:t>待控制台核价</w:t>
            </w:r>
          </w:p>
        </w:tc>
        <w:tc>
          <w:tcPr>
            <w:tcW w:type="dxa" w:w="1728"/>
          </w:tcPr>
          <w:p>
            <w:r>
              <w:t>待控制台核价</w:t>
            </w:r>
          </w:p>
        </w:tc>
        <w:tc>
          <w:tcPr>
            <w:tcW w:type="dxa" w:w="1728"/>
          </w:tcPr>
          <w:p>
            <w:r>
              <w:t>是否已含税，禁止重复计税</w:t>
            </w:r>
          </w:p>
        </w:tc>
      </w:tr>
      <w:tr>
        <w:tc>
          <w:tcPr>
            <w:tcW w:type="dxa" w:w="1728"/>
          </w:tcPr>
          <w:p>
            <w:r>
              <w:t>维护服务（若需要）</w:t>
            </w:r>
          </w:p>
        </w:tc>
        <w:tc>
          <w:tcPr>
            <w:tcW w:type="dxa" w:w="1728"/>
          </w:tcPr>
          <w:p>
            <w:r>
              <w:t>待控制台核价</w:t>
            </w:r>
          </w:p>
        </w:tc>
        <w:tc>
          <w:tcPr>
            <w:tcW w:type="dxa" w:w="1728"/>
          </w:tcPr>
          <w:p>
            <w:r>
              <w:t>待控制台核价</w:t>
            </w:r>
          </w:p>
        </w:tc>
        <w:tc>
          <w:tcPr>
            <w:tcW w:type="dxa" w:w="1728"/>
          </w:tcPr>
          <w:p>
            <w:r>
              <w:t>待控制台核价</w:t>
            </w:r>
          </w:p>
        </w:tc>
        <w:tc>
          <w:tcPr>
            <w:tcW w:type="dxa" w:w="1728"/>
          </w:tcPr>
          <w:p>
            <w:r>
              <w:t>谁负责升级、告警和恢复；Codex不自动提供两年值守</w:t>
            </w:r>
          </w:p>
        </w:tc>
      </w:tr>
      <w:tr>
        <w:tc>
          <w:tcPr>
            <w:tcW w:type="dxa" w:w="1728"/>
          </w:tcPr>
          <w:p>
            <w:r>
              <w:t>模型API（单列）</w:t>
            </w:r>
          </w:p>
        </w:tc>
        <w:tc>
          <w:tcPr>
            <w:tcW w:type="dxa" w:w="1728"/>
          </w:tcPr>
          <w:p>
            <w:r>
              <w:t>按真实请求量核算，待报价</w:t>
            </w:r>
          </w:p>
        </w:tc>
        <w:tc>
          <w:tcPr>
            <w:tcW w:type="dxa" w:w="1728"/>
          </w:tcPr>
          <w:p>
            <w:r>
              <w:t>同左</w:t>
            </w:r>
          </w:p>
        </w:tc>
        <w:tc>
          <w:tcPr>
            <w:tcW w:type="dxa" w:w="1728"/>
          </w:tcPr>
          <w:p>
            <w:r>
              <w:t>同左</w:t>
            </w:r>
          </w:p>
        </w:tc>
        <w:tc>
          <w:tcPr>
            <w:tcW w:type="dxa" w:w="1728"/>
          </w:tcPr>
          <w:p>
            <w:r>
              <w:t>实际可用模型、服务商单价/币种/缓存/失败计费</w:t>
            </w:r>
          </w:p>
        </w:tc>
      </w:tr>
      <w:tr>
        <w:tc>
          <w:tcPr>
            <w:tcW w:type="dxa" w:w="1728"/>
          </w:tcPr>
          <w:p>
            <w:r>
              <w:t>首购优惠与续费价</w:t>
            </w:r>
          </w:p>
        </w:tc>
        <w:tc>
          <w:tcPr>
            <w:tcW w:type="dxa" w:w="1728"/>
          </w:tcPr>
          <w:p>
            <w:r>
              <w:t>未核实，不预设折扣</w:t>
            </w:r>
          </w:p>
        </w:tc>
        <w:tc>
          <w:tcPr>
            <w:tcW w:type="dxa" w:w="1728"/>
          </w:tcPr>
          <w:p>
            <w:r>
              <w:t>同左</w:t>
            </w:r>
          </w:p>
        </w:tc>
        <w:tc>
          <w:tcPr>
            <w:tcW w:type="dxa" w:w="1728"/>
          </w:tcPr>
          <w:p>
            <w:r>
              <w:t>同左</w:t>
            </w:r>
          </w:p>
        </w:tc>
        <w:tc>
          <w:tcPr>
            <w:tcW w:type="dxa" w:w="1728"/>
          </w:tcPr>
          <w:p>
            <w:r>
              <w:t>优惠条件/截止、每次续费价、税币种</w:t>
            </w:r>
          </w:p>
        </w:tc>
      </w:tr>
      <w:tr>
        <w:tc>
          <w:tcPr>
            <w:tcW w:type="dxa" w:w="1728"/>
          </w:tcPr>
          <w:p>
            <w:r>
              <w:t>一次性/年度收费</w:t>
            </w:r>
          </w:p>
        </w:tc>
        <w:tc>
          <w:tcPr>
            <w:tcW w:type="dxa" w:w="1728"/>
          </w:tcPr>
          <w:p>
            <w:r>
              <w:t>待控制台核价</w:t>
            </w:r>
          </w:p>
        </w:tc>
        <w:tc>
          <w:tcPr>
            <w:tcW w:type="dxa" w:w="1728"/>
          </w:tcPr>
          <w:p>
            <w:r>
              <w:t>待控制台核价</w:t>
            </w:r>
          </w:p>
        </w:tc>
        <w:tc>
          <w:tcPr>
            <w:tcW w:type="dxa" w:w="1728"/>
          </w:tcPr>
          <w:p>
            <w:r>
              <w:t>待控制台核价</w:t>
            </w:r>
          </w:p>
        </w:tc>
        <w:tc>
          <w:tcPr>
            <w:tcW w:type="dxa" w:w="1728"/>
          </w:tcPr>
          <w:p>
            <w:r>
              <w:t>迁移/初始化、域名、运维服务，避免重复摊计</w:t>
            </w:r>
          </w:p>
        </w:tc>
      </w:tr>
      <w:tr>
        <w:tc>
          <w:tcPr>
            <w:tcW w:type="dxa" w:w="1728"/>
          </w:tcPr>
          <w:p>
            <w:r>
              <w:t>每月总额</w:t>
            </w:r>
          </w:p>
        </w:tc>
        <w:tc>
          <w:tcPr>
            <w:tcW w:type="dxa" w:w="1728"/>
          </w:tcPr>
          <w:p>
            <w:r>
              <w:t>待控制台核价</w:t>
            </w:r>
          </w:p>
        </w:tc>
        <w:tc>
          <w:tcPr>
            <w:tcW w:type="dxa" w:w="1728"/>
          </w:tcPr>
          <w:p>
            <w:r>
              <w:t>待控制台核价</w:t>
            </w:r>
          </w:p>
        </w:tc>
        <w:tc>
          <w:tcPr>
            <w:tcW w:type="dxa" w:w="1728"/>
          </w:tcPr>
          <w:p>
            <w:r>
              <w:t>待控制台核价</w:t>
            </w:r>
          </w:p>
        </w:tc>
        <w:tc>
          <w:tcPr>
            <w:tcW w:type="dxa" w:w="1728"/>
          </w:tcPr>
          <w:p>
            <w:r>
              <w:t>缺一项不能计算为0</w:t>
            </w:r>
          </w:p>
        </w:tc>
      </w:tr>
      <w:tr>
        <w:tc>
          <w:tcPr>
            <w:tcW w:type="dxa" w:w="1728"/>
          </w:tcPr>
          <w:p>
            <w:r>
              <w:t>24个月总额</w:t>
            </w:r>
          </w:p>
        </w:tc>
        <w:tc>
          <w:tcPr>
            <w:tcW w:type="dxa" w:w="1728"/>
          </w:tcPr>
          <w:p>
            <w:r>
              <w:t>待控制台核价</w:t>
            </w:r>
          </w:p>
        </w:tc>
        <w:tc>
          <w:tcPr>
            <w:tcW w:type="dxa" w:w="1728"/>
          </w:tcPr>
          <w:p>
            <w:r>
              <w:t>待控制台核价</w:t>
            </w:r>
          </w:p>
        </w:tc>
        <w:tc>
          <w:tcPr>
            <w:tcW w:type="dxa" w:w="1728"/>
          </w:tcPr>
          <w:p>
            <w:r>
              <w:t>待控制台核价</w:t>
            </w:r>
          </w:p>
        </w:tc>
        <w:tc>
          <w:tcPr>
            <w:tcW w:type="dxa" w:w="1728"/>
          </w:tcPr>
          <w:p>
            <w:r>
              <w:t>累计实际各期费用+不重复的一次性/年度费用</w:t>
            </w:r>
          </w:p>
        </w:tc>
      </w:tr>
    </w:tbl>
    <w:p>
      <w:r>
        <w:t>官方核价入口：https://www.aliyun.com/price；SAE：https://www.aliyun.com/product/sae；RDS PostgreSQL：https://www.aliyun.com/product/rds/postgresql；OSS：https://www.aliyun.com/product/oss。本次未能读取，不声称已有官方报价。续费价需账户预览，不能凭产品宣传页最低起价计算。</w:t>
      </w:r>
    </w:p>
    <w:p>
      <w:pPr>
        <w:pStyle w:val="Heading2"/>
      </w:pPr>
      <w:r>
        <w:t>模型API独立核算</w:t>
      </w:r>
    </w:p>
    <w:p>
      <w:r>
        <w:t>模型费用不由SAE/数据库套餐决定。统一示例：每10000次模型HTTP尝试、平均6000输入tokens、最多512输出tokens，对应约60M输入和5.12M输出，费用约60×每百万输入单价+5.12×每百万输出单价。这是询价计量单位，不是已批准调用计划或真实预计人数。 输入长度、重试、缓存和失败usage需按实际账单修正；GPT若通过兼容服务，不能用官方OpenAI价格替代该服务报价。先分别取得GPT和DeepSeek真实单价，再代入预计月请求量，不先调用模型核价。</w:t>
      </w:r>
    </w:p>
    <w:p>
      <w:r>
        <w:t>没有有效报价前，保持月费/两年总额未知。取得三档完整、可审阅费用预览后，才请研究者选择平台/预算并决定是否授权购买。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round36-three-scenario-costs</dc:title>
  <dc:subject/>
  <dc:creator>AI Agent Research Platform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