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30人容量验收：本地证据、线上计划和预算模板</w:t>
      </w:r>
    </w:p>
    <w:p>
      <w:pPr>
        <w:pStyle w:val="Heading2"/>
      </w:pPr>
      <w:r>
        <w:t>本轮已完成</w:t>
      </w:r>
    </w:p>
    <w:p>
      <w:r>
        <w:t>暂停前启动的测试已结束，保存的报告status=passed。该测试是真实本地HTTP与隔离PostgreSQL，模型是每次约200ms的模拟Adapter；不是纯函数测试，也不是公网/真实供应商测试。30个合成会话，认知/情感/日常各10，6波/180个唯一消息轮次，1081个正常操作请求；重复提交与完成后回放不额外生成。模拟生成162次，峰值30并行，故意触发2次重试和1次兜底，外部模型请求0。</w:t>
      </w:r>
    </w:p>
    <w:p>
      <w:r>
        <w:t>本次本地首发消息P50=268.58ms、P95=327.40ms、max=474.77ms；连接池上限10，峰值连接10，峰值等待49，峰值进程RSS约289MiB。该低延迟主要来自模拟模型，不能拿它预测GPT/DeepSeek或购买最低规格；本地请求成功率1也不等于模型语义全通过。</w:t>
      </w:r>
    </w:p>
    <w:p>
      <w:r>
        <w:t>检查包括完整导出、精确计数、跨参与者拒绝、消息/变量/评分隔离、幂等、重启后记录保留和重新登录恢复。报告见acceptance/step6-round35/concurrency-30-local.json。6波是工程采样，不修改正式研究互动轮次，也不等于全路径完成；该测试没有覆盖真实429/5xx、浏览器刷新或异地恢复，分别另验。</w:t>
      </w:r>
    </w:p>
    <w:p>
      <w:pPr>
        <w:pStyle w:val="Heading2"/>
      </w:pPr>
      <w:r>
        <w:t>平台批准后的两阶段</w:t>
      </w:r>
    </w:p>
    <w:p>
      <w:r>
        <w:t>1. 在独立云端测试数据库和非正式账号上重跑HTTP/SQL压力，记录实际Web CPU/RSS、PG连接/等待、事务锁和耗时，验证Web重启/重登、重复请求和完整导出。不能混入正式参与者数据，不能直接把本地fixture的B001复用到正式研究库。</w:t>
      </w:r>
    </w:p>
    <w:p>
      <w:r>
        <w:t>2. 先完成真实URL、安全检查和研究者自由体验，再提交明确的模型预算；批准后才执行30真实模型并发。分别记录应用HTTP与模型尝试，按原冻结超时/重试策略执行，不为“通过”增加重试或修改Validator。</w:t>
      </w:r>
    </w:p>
    <w:p>
      <w:pPr>
        <w:pStyle w:val="Heading2"/>
      </w:pPr>
      <w:r>
        <w:t>真实双模型预算草案，当前未获批准</w:t>
      </w:r>
    </w:p>
    <w:p>
      <w:r>
        <w:t>拟30个独立会话，每模型15（各路径5），每人6个工程采样轮次。参照当前已存在的测试流，约160次正常生成，两次尝试上限推得最多320个压测模型请求；额外smoke最多4次，合计最多324次。正式材料一旦获批，必须重新计算模板轮/生成轮数量，未经确认不得沿用估算作为正式协议。</w:t>
      </w:r>
    </w:p>
    <w:p>
      <w:r>
        <w:t>假设每请求输入6000 tokens，输出max_tokens512：每模型最多162次尝试，输入约0.972M、输出上限0.082944M。两模型总约1.944M输入和0.165888M输出。输入6000是估算，不是硬上限；实际Prompt/历史、tokenizer及usage需在试跑前核对。</w:t>
      </w:r>
    </w:p>
    <w:p>
      <w:r>
        <w:t>每模型最高估算费用=0.972×输入每百万token单价 + 0.082944×输出每百万token单价；两模型相加。当前账户实际单价未知，预算金额保持null，不忽略失败/重试可能计费，不把托管费包含在模型报价中。正式执行器的请求/费用硬限额和真实429/5xx测试尚未实现/执行；不能宣称已有成本熔断。</w:t>
      </w:r>
    </w:p>
    <w:p>
      <w:r>
        <w:t>批准单必须包含实际URL与独立批次、实际可用模型ID、供应商RPM/TPM和并发配额、单价来源/日期/币种、最大324次请求、token估算、金额上限、时段和停止条件。未经研究者明确批准，外部压测为NOT RUN。</w:t>
      </w:r>
    </w:p>
    <w:p>
      <w:pPr>
        <w:pStyle w:val="Heading2"/>
      </w:pPr>
      <w:r>
        <w:t>门禁与停止条件</w:t>
      </w:r>
    </w:p>
    <w:p>
      <w:r>
        <w:t>最低标准：30个独立会话无跨参与者泄露；已确认写入的消息/状态不丢失不重复；导出与数据库一致；Web重启和浏览器刷新/重登后恢复；异地备份真实恢复成功；无无限等待或重复生成。E2E P95以20秒为目标，达不到则呈现实测分布、失败和原因，不伪造通过。研究者人工语言评分另行签署。</w:t>
      </w:r>
    </w:p>
    <w:p>
      <w:r>
        <w:t>发现隔离失败、已确认数据损失/重复、预算或请求限额达到、供应商持续429/5xx、连接池持续超时，立即停止发新请求并保留已完成记录。不得删除失败记录后重跑掩盖错误。Web CPU/内存、每实例PG池及保留连接总额需按实例总数计算，不能仅把DB_POOL_SIZE改大。</w:t>
      </w:r>
    </w:p>
    <w:p>
      <w:r>
        <w:t>结果模板见round35-acceptance-results-template.json：保留Git提交、部署版本、研究/Prompt版本哈希、请求和实际响应模型、应用/模型HTTP、首token及总时延（若实测）、重试/兜底/错误、实际usage和费用。没有实测的值写null并标NOT RUN。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round35-concurrency-plan</dc:title>
  <dc:subject/>
  <dc:creator>AI Agent Research Platform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