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两年期部署决策：先确认平台与预算，不创建收费资源</w:t>
      </w:r>
    </w:p>
    <w:p>
      <w:r>
        <w:t>2026-10-20（UTC+8）。最多比较两个方案。本报告不是订购单；当前没有获准的预算上限，也没有读取研究者的云账户或创建资源。保留现有免费体验配置，不将其用于正式收集。</w:t>
      </w:r>
    </w:p>
    <w:p>
      <w:pPr>
        <w:pStyle w:val="Heading2"/>
      </w:pPr>
      <w:r>
        <w:t>建议先做的一个决定</w:t>
      </w:r>
    </w:p>
    <w:p>
      <w:r>
        <w:t>优先核价 方案B：阿里云中国站托管方案，因为研究者现有支付渠道与Render账单要求存在障碍。但本次无法在线核实官方页面和具体账户资格，B仍是待核验候选，不宣称已经确认可付款或已取得报价。若研究者愿意且Render账户实际可付款，再选A。现在仅需回复“优先核价的平台 + 24个月总预算上限（人民币）”；这不等于批准购买。</w:t>
      </w:r>
    </w:p>
    <w:p>
      <w:pPr>
        <w:pStyle w:val="Heading2"/>
      </w:pPr>
      <w:r>
        <w:t>两个方案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A：Render付费</w:t>
            </w:r>
          </w:p>
        </w:tc>
        <w:tc>
          <w:tcPr>
            <w:tcW w:type="dxa" w:w="2880"/>
          </w:tcPr>
          <w:p>
            <w:r>
              <w:t>B：阿里云中国站托管候选</w:t>
            </w:r>
          </w:p>
        </w:tc>
      </w:tr>
      <w:tr>
        <w:tc>
          <w:tcPr>
            <w:tcW w:type="dxa" w:w="2880"/>
          </w:tcPr>
          <w:p>
            <w:r>
              <w:t>Web</w:t>
            </w:r>
          </w:p>
        </w:tc>
        <w:tc>
          <w:tcPr>
            <w:tcW w:type="dxa" w:w="2880"/>
          </w:tcPr>
          <w:p>
            <w:r>
              <w:t>长期开启的付费Web；本轮预备Blueprint暂列Standard，不代表容量/预算已确认</w:t>
            </w:r>
          </w:p>
        </w:tc>
        <w:tc>
          <w:tcPr>
            <w:tcW w:type="dxa" w:w="2880"/>
          </w:tcPr>
          <w:p>
            <w:r>
              <w:t>SAE托管容器应用，明确固定最小实例防休眠/缩容到0；需核实所选地域及产品是否满足该运行模式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独立付费PostgreSQL；暂列Basic 1GB只是待评估起点</w:t>
            </w:r>
          </w:p>
        </w:tc>
        <w:tc>
          <w:tcPr>
            <w:tcW w:type="dxa" w:w="2880"/>
          </w:tcPr>
          <w:p>
            <w:r>
              <w:t>RDS PostgreSQL独立实例，容量、连接数、备份/PITR窗口按报价确认</w:t>
            </w:r>
          </w:p>
        </w:tc>
      </w:tr>
      <w:tr>
        <w:tc>
          <w:tcPr>
            <w:tcW w:type="dxa" w:w="2880"/>
          </w:tcPr>
          <w:p>
            <w:r>
              <w:t>区域</w:t>
            </w:r>
          </w:p>
        </w:tc>
        <w:tc>
          <w:tcPr>
            <w:tcW w:type="dxa" w:w="2880"/>
          </w:tcPr>
          <w:p>
            <w:r>
              <w:t>目标Singapore；实际账户可选性待确认</w:t>
            </w:r>
          </w:p>
        </w:tc>
        <w:tc>
          <w:tcPr>
            <w:tcW w:type="dxa" w:w="2880"/>
          </w:tcPr>
          <w:p>
            <w:r>
              <w:t>先查新加坡；若产品不支持，不自动换区域，应由研究者决定邻近区域及伦理要求</w:t>
            </w:r>
          </w:p>
        </w:tc>
      </w:tr>
      <w:tr>
        <w:tc>
          <w:tcPr>
            <w:tcW w:type="dxa" w:w="2880"/>
          </w:tcPr>
          <w:p>
            <w:r>
              <w:t>HTTPS</w:t>
            </w:r>
          </w:p>
        </w:tc>
        <w:tc>
          <w:tcPr>
            <w:tcW w:type="dxa" w:w="2880"/>
          </w:tcPr>
          <w:p>
            <w:r>
              <w:t>平台分配地址及证书；是否自定义域名另行确认</w:t>
            </w:r>
          </w:p>
        </w:tc>
        <w:tc>
          <w:tcPr>
            <w:tcW w:type="dxa" w:w="2880"/>
          </w:tcPr>
          <w:p>
            <w:r>
              <w:t>SAE入口/负载均衡、域名与证书及其费用需纳入报价，不能把域名/网关默认为免费</w:t>
            </w:r>
          </w:p>
        </w:tc>
      </w:tr>
      <w:tr>
        <w:tc>
          <w:tcPr>
            <w:tcW w:type="dxa" w:w="2880"/>
          </w:tcPr>
          <w:p>
            <w:r>
              <w:t>异地备份</w:t>
            </w:r>
          </w:p>
        </w:tc>
        <w:tc>
          <w:tcPr>
            <w:tcW w:type="dxa" w:w="2880"/>
          </w:tcPr>
          <w:p>
            <w:r>
              <w:t>平台PITR + 独立区域私有S3兼容存储，后者需单独核价</w:t>
            </w:r>
          </w:p>
        </w:tc>
        <w:tc>
          <w:tcPr>
            <w:tcW w:type="dxa" w:w="2880"/>
          </w:tcPr>
          <w:p>
            <w:r>
              <w:t>平台备份 + 另一地区私有OSS；S3兼容性不等同于所有AWS管理API兼容，可能需OSS适配</w:t>
            </w:r>
          </w:p>
        </w:tc>
      </w:tr>
      <w:tr>
        <w:tc>
          <w:tcPr>
            <w:tcW w:type="dxa" w:w="2880"/>
          </w:tcPr>
          <w:p>
            <w:r>
              <w:t>支付</w:t>
            </w:r>
          </w:p>
        </w:tc>
        <w:tc>
          <w:tcPr>
            <w:tcW w:type="dxa" w:w="2880"/>
          </w:tcPr>
          <w:p>
            <w:r>
              <w:t>无法确认银联、支付宝、微信可直接满足该账户账单要求；用户已遇到绑卡障碍</w:t>
            </w:r>
          </w:p>
        </w:tc>
        <w:tc>
          <w:tcPr>
            <w:tcW w:type="dxa" w:w="2880"/>
          </w:tcPr>
          <w:p>
            <w:r>
              <w:t>必须使用本人合规中国站账户核实人民币充值/支付宝/银行卡选项、实名要求和海外地域购买权限；不把国际站支付方式当中国站，也不保证微信或所有银联卡可用</w:t>
            </w:r>
          </w:p>
        </w:tc>
      </w:tr>
      <w:tr>
        <w:tc>
          <w:tcPr>
            <w:tcW w:type="dxa" w:w="2880"/>
          </w:tcPr>
          <w:p>
            <w:r>
              <w:t>运维</w:t>
            </w:r>
          </w:p>
        </w:tc>
        <w:tc>
          <w:tcPr>
            <w:tcW w:type="dxa" w:w="2880"/>
          </w:tcPr>
          <w:p>
            <w:r>
              <w:t>平台负责托管底层；应用升级、权限、备份告警和季度恢复需指定维护人</w:t>
            </w:r>
          </w:p>
        </w:tc>
        <w:tc>
          <w:tcPr>
            <w:tcW w:type="dxa" w:w="2880"/>
          </w:tcPr>
          <w:p>
            <w:r>
              <w:t>平台负责SAE/RDS/OSS底层；同样需要应用维护人；若需厂商运维服务，其费用另列</w:t>
            </w:r>
          </w:p>
        </w:tc>
      </w:tr>
      <w:tr>
        <w:tc>
          <w:tcPr>
            <w:tcW w:type="dxa" w:w="2880"/>
          </w:tcPr>
          <w:p>
            <w:r>
              <w:t>主要风险</w:t>
            </w:r>
          </w:p>
        </w:tc>
        <w:tc>
          <w:tcPr>
            <w:tcW w:type="dxa" w:w="2880"/>
          </w:tcPr>
          <w:p>
            <w:r>
              <w:t>支付不可行、Workspace恢复窗口/费用、数据库规格是否足够、两年费用变动</w:t>
            </w:r>
          </w:p>
        </w:tc>
        <w:tc>
          <w:tcPr>
            <w:tcW w:type="dxa" w:w="2880"/>
          </w:tcPr>
          <w:p>
            <w:r>
              <w:t>账户支付及海外地域尚未核实、网络/模型接口可达性、HTTPS与存储适配、运维服务报价</w:t>
            </w:r>
          </w:p>
        </w:tc>
      </w:tr>
    </w:tbl>
    <w:p>
      <w:r>
        <w:t>没有建议购买一台无人维护的服务器。Codex可以在会话中协助配置和修复，但不是自动提供两年的值守运维服务；必须在正式预算中指定维护责任人或明确的托管运维服务。</w:t>
      </w:r>
    </w:p>
    <w:p>
      <w:pPr>
        <w:pStyle w:val="Heading2"/>
      </w:pPr>
      <w:r>
        <w:t>价格、支付和官方来源</w:t>
      </w:r>
    </w:p>
    <w:p>
      <w:r>
        <w:t>查询日期：2026-10-20。Render价格页请求返回HTTP403，提升执行权限后仍403；阿里云价格页请求返回403，后续提升权限的调用被用户中止。未取得官方页面内容、实时账单或账户截图，不能冒称最新报价已核实，也不能把这个网络错误解释为供应商支付拒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方案</w:t>
            </w:r>
          </w:p>
        </w:tc>
        <w:tc>
          <w:tcPr>
            <w:tcW w:type="dxa" w:w="2880"/>
          </w:tcPr>
          <w:p>
            <w:r>
              <w:t>官方来源（供后续核价）</w:t>
            </w:r>
          </w:p>
        </w:tc>
        <w:tc>
          <w:tcPr>
            <w:tcW w:type="dxa" w:w="2880"/>
          </w:tcPr>
          <w:p>
            <w:r>
              <w:t>本轮验证情况</w:t>
            </w:r>
          </w:p>
        </w:tc>
      </w:tr>
      <w:tr>
        <w:tc>
          <w:tcPr>
            <w:tcW w:type="dxa" w:w="2880"/>
          </w:tcPr>
          <w:p>
            <w:r>
              <w:t>Render</w:t>
            </w:r>
          </w:p>
        </w:tc>
        <w:tc>
          <w:tcPr>
            <w:tcW w:type="dxa" w:w="2880"/>
          </w:tcPr>
          <w:p>
            <w:r>
              <w:t>https://render.com/pricing；https://render.com/docs/postgresql-backups；https://render.com/docs/backup-postgresql-to-s3；https://render.com/docs/billing</w:t>
            </w:r>
          </w:p>
        </w:tc>
        <w:tc>
          <w:tcPr>
            <w:tcW w:type="dxa" w:w="2880"/>
          </w:tcPr>
          <w:p>
            <w:r>
              <w:t>价格请求403；其余页面本轮未读取；账户套餐、PITR窗口、支付方式未核验</w:t>
            </w:r>
          </w:p>
        </w:tc>
      </w:tr>
      <w:tr>
        <w:tc>
          <w:tcPr>
            <w:tcW w:type="dxa" w:w="2880"/>
          </w:tcPr>
          <w:p>
            <w:r>
              <w:t>阿里云中国站</w:t>
            </w:r>
          </w:p>
        </w:tc>
        <w:tc>
          <w:tcPr>
            <w:tcW w:type="dxa" w:w="2880"/>
          </w:tcPr>
          <w:p>
            <w:r>
              <w:t>https://www.aliyun.com/price；https://www.aliyun.com/product/sae；https://www.aliyun.com/product/rds/postgresql；https://www.aliyun.com/product/oss；https://help.aliyun.com/zh/user-center/</w:t>
            </w:r>
          </w:p>
        </w:tc>
        <w:tc>
          <w:tcPr>
            <w:tcW w:type="dxa" w:w="2880"/>
          </w:tcPr>
          <w:p>
            <w:r>
              <w:t>价格请求403；产品页面和账户支付/地域未读取，均为后续核查入口，不是已取得的报价</w:t>
            </w:r>
          </w:p>
        </w:tc>
      </w:tr>
    </w:tbl>
    <w:p>
      <w:pPr>
        <w:pStyle w:val="Heading2"/>
      </w:pPr>
      <w:r>
        <w:t>月费与24个月总成本：当前不能填写金额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成本项</w:t>
            </w:r>
          </w:p>
        </w:tc>
        <w:tc>
          <w:tcPr>
            <w:tcW w:type="dxa" w:w="2160"/>
          </w:tcPr>
          <w:p>
            <w:r>
              <w:t>A：Render</w:t>
            </w:r>
          </w:p>
        </w:tc>
        <w:tc>
          <w:tcPr>
            <w:tcW w:type="dxa" w:w="2160"/>
          </w:tcPr>
          <w:p>
            <w:r>
              <w:t>B：阿里云</w:t>
            </w:r>
          </w:p>
        </w:tc>
        <w:tc>
          <w:tcPr>
            <w:tcW w:type="dxa" w:w="2160"/>
          </w:tcPr>
          <w:p>
            <w:r>
              <w:t>报价时必须说明</w:t>
            </w:r>
          </w:p>
        </w:tc>
      </w:tr>
      <w:tr>
        <w:tc>
          <w:tcPr>
            <w:tcW w:type="dxa" w:w="2160"/>
          </w:tcPr>
          <w:p>
            <w:r>
              <w:t>Web月费 W</w:t>
            </w:r>
          </w:p>
        </w:tc>
        <w:tc>
          <w:tcPr>
            <w:tcW w:type="dxa" w:w="2160"/>
          </w:tcPr>
          <w:p>
            <w:r>
              <w:t>待核价</w:t>
            </w:r>
          </w:p>
        </w:tc>
        <w:tc>
          <w:tcPr>
            <w:tcW w:type="dxa" w:w="2160"/>
          </w:tcPr>
          <w:p>
            <w:r>
              <w:t>待核价</w:t>
            </w:r>
          </w:p>
        </w:tc>
        <w:tc>
          <w:tcPr>
            <w:tcW w:type="dxa" w:w="2160"/>
          </w:tcPr>
          <w:p>
            <w:r>
              <w:t>CPU/内存、实例常开、数量、运行小时、续费价</w:t>
            </w:r>
          </w:p>
        </w:tc>
      </w:tr>
      <w:tr>
        <w:tc>
          <w:tcPr>
            <w:tcW w:type="dxa" w:w="2160"/>
          </w:tcPr>
          <w:p>
            <w:r>
              <w:t>数据库月费 D</w:t>
            </w:r>
          </w:p>
        </w:tc>
        <w:tc>
          <w:tcPr>
            <w:tcW w:type="dxa" w:w="2160"/>
          </w:tcPr>
          <w:p>
            <w:r>
              <w:t>待核价</w:t>
            </w:r>
          </w:p>
        </w:tc>
        <w:tc>
          <w:tcPr>
            <w:tcW w:type="dxa" w:w="2160"/>
          </w:tcPr>
          <w:p>
            <w:r>
              <w:t>待核价</w:t>
            </w:r>
          </w:p>
        </w:tc>
        <w:tc>
          <w:tcPr>
            <w:tcW w:type="dxa" w:w="2160"/>
          </w:tcPr>
          <w:p>
            <w:r>
              <w:t>容量、IO/连接、备份/PITR、付费周期</w:t>
            </w:r>
          </w:p>
        </w:tc>
      </w:tr>
      <w:tr>
        <w:tc>
          <w:tcPr>
            <w:tcW w:type="dxa" w:w="2160"/>
          </w:tcPr>
          <w:p>
            <w:r>
              <w:t>异地存储月费 B</w:t>
            </w:r>
          </w:p>
        </w:tc>
        <w:tc>
          <w:tcPr>
            <w:tcW w:type="dxa" w:w="2160"/>
          </w:tcPr>
          <w:p>
            <w:r>
              <w:t>待核价</w:t>
            </w:r>
          </w:p>
        </w:tc>
        <w:tc>
          <w:tcPr>
            <w:tcW w:type="dxa" w:w="2160"/>
          </w:tcPr>
          <w:p>
            <w:r>
              <w:t>待核价</w:t>
            </w:r>
          </w:p>
        </w:tc>
        <w:tc>
          <w:tcPr>
            <w:tcW w:type="dxa" w:w="2160"/>
          </w:tcPr>
          <w:p>
            <w:r>
              <w:t>压缩备份体积、30日每日及获批月归档、版本历史、请求和取回</w:t>
            </w:r>
          </w:p>
        </w:tc>
      </w:tr>
      <w:tr>
        <w:tc>
          <w:tcPr>
            <w:tcW w:type="dxa" w:w="2160"/>
          </w:tcPr>
          <w:p>
            <w:r>
              <w:t>其他月费 O</w:t>
            </w:r>
          </w:p>
        </w:tc>
        <w:tc>
          <w:tcPr>
            <w:tcW w:type="dxa" w:w="2160"/>
          </w:tcPr>
          <w:p>
            <w:r>
              <w:t>待核价</w:t>
            </w:r>
          </w:p>
        </w:tc>
        <w:tc>
          <w:tcPr>
            <w:tcW w:type="dxa" w:w="2160"/>
          </w:tcPr>
          <w:p>
            <w:r>
              <w:t>待核价</w:t>
            </w:r>
          </w:p>
        </w:tc>
        <w:tc>
          <w:tcPr>
            <w:tcW w:type="dxa" w:w="2160"/>
          </w:tcPr>
          <w:p>
            <w:r>
              <w:t>Workspace、网关/HTTPS、域名、流量、告警、税费、运维服务</w:t>
            </w:r>
          </w:p>
        </w:tc>
      </w:tr>
      <w:tr>
        <w:tc>
          <w:tcPr>
            <w:tcW w:type="dxa" w:w="2160"/>
          </w:tcPr>
          <w:p>
            <w:r>
              <w:t>模型月费 M</w:t>
            </w:r>
          </w:p>
        </w:tc>
        <w:tc>
          <w:tcPr>
            <w:tcW w:type="dxa" w:w="2160"/>
          </w:tcPr>
          <w:p>
            <w:r>
              <w:t>按实际GPT/DeepSeek用量另计</w:t>
            </w:r>
          </w:p>
        </w:tc>
        <w:tc>
          <w:tcPr>
            <w:tcW w:type="dxa" w:w="2160"/>
          </w:tcPr>
          <w:p>
            <w:r>
              <w:t>同左</w:t>
            </w:r>
          </w:p>
        </w:tc>
        <w:tc>
          <w:tcPr>
            <w:tcW w:type="dxa" w:w="2160"/>
          </w:tcPr>
          <w:p>
            <w:r>
              <w:t>实际可用模型与供应商账单；不凭旧名称猜单价</w:t>
            </w:r>
          </w:p>
        </w:tc>
      </w:tr>
      <w:tr>
        <w:tc>
          <w:tcPr>
            <w:tcW w:type="dxa" w:w="2160"/>
          </w:tcPr>
          <w:p>
            <w:r>
              <w:t>一次性费用 S</w:t>
            </w:r>
          </w:p>
        </w:tc>
        <w:tc>
          <w:tcPr>
            <w:tcW w:type="dxa" w:w="2160"/>
          </w:tcPr>
          <w:p>
            <w:r>
              <w:t>待核价</w:t>
            </w:r>
          </w:p>
        </w:tc>
        <w:tc>
          <w:tcPr>
            <w:tcW w:type="dxa" w:w="2160"/>
          </w:tcPr>
          <w:p>
            <w:r>
              <w:t>待核价</w:t>
            </w:r>
          </w:p>
        </w:tc>
        <w:tc>
          <w:tcPr>
            <w:tcW w:type="dxa" w:w="2160"/>
          </w:tcPr>
          <w:p>
            <w:r>
              <w:t>初始化、迁移/运维服务及恢复演练费用（若有）</w:t>
            </w:r>
          </w:p>
        </w:tc>
      </w:tr>
      <w:tr>
        <w:tc>
          <w:tcPr>
            <w:tcW w:type="dxa" w:w="2160"/>
          </w:tcPr>
          <w:p>
            <w:r>
              <w:t>月费估算</w:t>
            </w:r>
          </w:p>
        </w:tc>
        <w:tc>
          <w:tcPr>
            <w:tcW w:type="dxa" w:w="2160"/>
          </w:tcPr>
          <w:p>
            <w:r>
              <w:t>W+D+B+O+M，金额未知</w:t>
            </w:r>
          </w:p>
        </w:tc>
        <w:tc>
          <w:tcPr>
            <w:tcW w:type="dxa" w:w="2160"/>
          </w:tcPr>
          <w:p>
            <w:r>
              <w:t>W+D+B+O+M，金额未知</w:t>
            </w:r>
          </w:p>
        </w:tc>
        <w:tc>
          <w:tcPr>
            <w:tcW w:type="dxa" w:w="2160"/>
          </w:tcPr>
          <w:p>
            <w:r>
              <w:t>区分币种，汇率另经研究者确认</w:t>
            </w:r>
          </w:p>
        </w:tc>
      </w:tr>
      <w:tr>
        <w:tc>
          <w:tcPr>
            <w:tcW w:type="dxa" w:w="2160"/>
          </w:tcPr>
          <w:p>
            <w:r>
              <w:t>24个月估算</w:t>
            </w:r>
          </w:p>
        </w:tc>
        <w:tc>
          <w:tcPr>
            <w:tcW w:type="dxa" w:w="2160"/>
          </w:tcPr>
          <w:p>
            <w:r>
              <w:t>24×(W+D+B+O+M)+S，金额未知</w:t>
            </w:r>
          </w:p>
        </w:tc>
        <w:tc>
          <w:tcPr>
            <w:tcW w:type="dxa" w:w="2160"/>
          </w:tcPr>
          <w:p>
            <w:r>
              <w:t>同公式，金额未知</w:t>
            </w:r>
          </w:p>
        </w:tc>
        <w:tc>
          <w:tcPr>
            <w:tcW w:type="dxa" w:w="2160"/>
          </w:tcPr>
          <w:p>
            <w:r>
              <w:t>年付折扣和续费变动应逐期计算，不把首月促销乘24</w:t>
            </w:r>
          </w:p>
        </w:tc>
      </w:tr>
    </w:tbl>
    <w:p>
      <w:r>
        <w:t>工作表见round35-cost-worksheet.json，所有未核实金额保持null，总成本也是null；没有编造“预计几百元”等预算。备份容量粗估可从“压缩全库体积×保留副本数”起步，版本历史和增长另计，不能将目前少量合成数据体积当两年研究容量。</w:t>
      </w:r>
    </w:p>
    <w:p>
      <w:r>
        <w:t>选定核价方向后，由Codex整理准确套餐和报价；账户内信息无法代取时，只请研究者逐屏核对非敏感价格/支付信息。取得可审阅的金额及24个月总成本后，还需研究者明确批准创建资源。现在不要求填写API Key、点击Deploy或提交银行卡。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round35-platform-decision</dc:title>
  <dc:subject/>
  <dc:creator>AI Agent Research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