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研究者现在只做一步</w:t>
      </w:r>
    </w:p>
    <w:p>
      <w:r>
        <w:t>请回复：优先核价“Render”还是“阿里云中国站托管方案”，以及你可接受的24个月总预算上限（人民币）。</w:t>
      </w:r>
    </w:p>
    <w:p>
      <w:r>
        <w:t>这只是核价方向和预算边界，不是批准购买。当前没有可靠的最新报价，因此不能让你批准一个金额未知的订单，也不要求现在填写Secret、绑卡、购买服务器或点击Deploy。</w:t>
      </w:r>
    </w:p>
    <w:p>
      <w:r>
        <w:t>我们建议先核验阿里云中国站的合规付款渠道和新加坡托管产品，因为你目前的支付渠道在Render遇到阻碍。但具体账户支付、地域与总价尚未核实；不承诺支付宝/微信/所有银联卡都适用，不提供绕过支付验证的方法。</w:t>
      </w:r>
    </w:p>
    <w:p>
      <w:pPr>
        <w:pStyle w:val="Heading2"/>
      </w:pPr>
      <w:r>
        <w:t>后续逐屏流程（现在不操作）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顺序</w:t>
            </w:r>
          </w:p>
        </w:tc>
        <w:tc>
          <w:tcPr>
            <w:tcW w:type="dxa" w:w="2160"/>
          </w:tcPr>
          <w:p>
            <w:r>
              <w:t>届时由研究者做的一件事</w:t>
            </w:r>
          </w:p>
        </w:tc>
        <w:tc>
          <w:tcPr>
            <w:tcW w:type="dxa" w:w="2160"/>
          </w:tcPr>
          <w:p>
            <w:r>
              <w:t>页面上应核对什么</w:t>
            </w:r>
          </w:p>
        </w:tc>
        <w:tc>
          <w:tcPr>
            <w:tcW w:type="dxa" w:w="2160"/>
          </w:tcPr>
          <w:p>
            <w:r>
              <w:t>Codex负责什么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选择核价平台并给预算边界</w:t>
            </w:r>
          </w:p>
        </w:tc>
        <w:tc>
          <w:tcPr>
            <w:tcW w:type="dxa" w:w="2160"/>
          </w:tcPr>
          <w:p>
            <w:r>
              <w:t>无需登录或支付</w:t>
            </w:r>
          </w:p>
        </w:tc>
        <w:tc>
          <w:tcPr>
            <w:tcW w:type="dxa" w:w="2160"/>
          </w:tcPr>
          <w:p>
            <w:r>
              <w:t>整理官方/账户报价及24个月总价，无法取得的项目如实标明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登录选定平台并授权仓库</w:t>
            </w:r>
          </w:p>
        </w:tc>
        <w:tc>
          <w:tcPr>
            <w:tcW w:type="dxa" w:w="2160"/>
          </w:tcPr>
          <w:p>
            <w:r>
              <w:t>本人GitHub账号、qianmengyan008-sys/AI-Agent-Research-Platform、work分支</w:t>
            </w:r>
          </w:p>
        </w:tc>
        <w:tc>
          <w:tcPr>
            <w:tcW w:type="dxa" w:w="2160"/>
          </w:tcPr>
          <w:p>
            <w:r>
              <w:t>依据选定平台给按钮和页面说明；未知界面不猜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核对一张完整费用预览</w:t>
            </w:r>
          </w:p>
        </w:tc>
        <w:tc>
          <w:tcPr>
            <w:tcW w:type="dxa" w:w="2160"/>
          </w:tcPr>
          <w:p>
            <w:r>
              <w:t>地区、独立production资源、Web/DB/存储/税费/24个月、不得复用staging</w:t>
            </w:r>
          </w:p>
        </w:tc>
        <w:tc>
          <w:tcPr>
            <w:tcW w:type="dxa" w:w="2160"/>
          </w:tcPr>
          <w:p>
            <w:r>
              <w:t>提供准确规格和配置；未明确批准总价，不点创建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在平台Secret页面填写真实凭据</w:t>
            </w:r>
          </w:p>
        </w:tc>
        <w:tc>
          <w:tcPr>
            <w:tcW w:type="dxa" w:w="2160"/>
          </w:tcPr>
          <w:p>
            <w:r>
              <w:t>仅变量名和安全输入框，保存后不回传值</w:t>
            </w:r>
          </w:p>
        </w:tc>
        <w:tc>
          <w:tcPr>
            <w:tcW w:type="dxa" w:w="2160"/>
          </w:tcPr>
          <w:p>
            <w:r>
              <w:t>逐项说明用途；API Base URL保持已验证实际接口；不让你在聊天发送Key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批准后点击创建/部署</w:t>
            </w:r>
          </w:p>
        </w:tc>
        <w:tc>
          <w:tcPr>
            <w:tcW w:type="dxa" w:w="2160"/>
          </w:tcPr>
          <w:p>
            <w:r>
              <w:t>正式预备配置而非免费staging；实际生成HTTPS地址</w:t>
            </w:r>
          </w:p>
        </w:tc>
        <w:tc>
          <w:tcPr>
            <w:tcW w:type="dxa" w:w="2160"/>
          </w:tcPr>
          <w:p>
            <w:r>
              <w:t>预检正确配置文件/分支；得到URL后实际验收，基础设施健康不等于正式招募放行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用独立测试账号自由体验</w:t>
            </w:r>
          </w:p>
        </w:tc>
        <w:tc>
          <w:tcPr>
            <w:tcW w:type="dxa" w:w="2160"/>
          </w:tcPr>
          <w:p>
            <w:r>
              <w:t>两模型各认知/情感/日常共6次会话</w:t>
            </w:r>
          </w:p>
        </w:tc>
        <w:tc>
          <w:tcPr>
            <w:tcW w:type="dxa" w:w="2160"/>
          </w:tcPr>
          <w:p>
            <w:r>
              <w:t>检查HTTPS、权限、恢复、导出，指导人工审核，不代签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单独批准真实模型测试预算</w:t>
            </w:r>
          </w:p>
        </w:tc>
        <w:tc>
          <w:tcPr>
            <w:tcW w:type="dxa" w:w="2160"/>
          </w:tcPr>
          <w:p>
            <w:r>
              <w:t>请求数、单价、金额上限与时段</w:t>
            </w:r>
          </w:p>
        </w:tc>
        <w:tc>
          <w:tcPr>
            <w:tcW w:type="dxa" w:w="2160"/>
          </w:tcPr>
          <w:p>
            <w:r>
              <w:t>先云端合成测试，再获批真实压测、异地恢复，记录证据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研究者决定导师及正式招募</w:t>
            </w:r>
          </w:p>
        </w:tc>
        <w:tc>
          <w:tcPr>
            <w:tcW w:type="dxa" w:w="2160"/>
          </w:tcPr>
          <w:p>
            <w:r>
              <w:t>正式材料/知情同意、数据管理及全部门禁</w:t>
            </w:r>
          </w:p>
        </w:tc>
        <w:tc>
          <w:tcPr>
            <w:tcW w:type="dxa" w:w="2160"/>
          </w:tcPr>
          <w:p>
            <w:r>
              <w:t>提供完整验收报告，formal_ready未满足前始终false</w:t>
            </w:r>
          </w:p>
        </w:tc>
      </w:tr>
    </w:tbl>
    <w:p>
      <w:r>
        <w:t>只有平台最终确定后才能给出准确按钮、套餐和自定义Blueprint文件选择方法。本轮Render候选文件是render-production.yaml，不是根目录免费render.yaml；若平台不支持该文件路径或界面不同，先反馈非敏感信息，不要自行覆盖配置。</w:t>
      </w:r>
    </w:p>
    <w:p>
      <w:r>
        <w:t>维护与数据管理需指定责任人。参与者只用HTTPS与个人账号，不安装软件，也不依赖你的电脑持续开机。已有服务、数据库、种子和批次不得删除或重建，遇到旧资源先让Codex核对无损方案。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round35-researcher-next-step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