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第29次反馈：模型对比与线上部署推进</w:t>
      </w:r>
    </w:p>
    <w:p>
      <w:r>
        <w:t>一、当前目标</w:t>
        <w:br/>
        <w:br/>
        <w:t>当前平台目标是完成可用于真实实验的线上对话研究平台。除完成部署外，需要比较不同大语言模型作为对话基底时的稳定性、自然度和实验体验。</w:t>
        <w:br/>
        <w:br/>
        <w:t>二、模型选择与测试建议</w:t>
        <w:br/>
        <w:br/>
        <w:t>目前已有 GPT API Key，同时已有 DeepSeek Flash 配置。建议在相同实验条件下进行小规模对比，而不是仅根据模型名称判断。</w:t>
        <w:br/>
        <w:br/>
        <w:t>保持条件一致：</w:t>
        <w:br/>
        <w:t>1. 相同提示词、状态机和实验流程；</w:t>
        <w:br/>
        <w:t>2. 相同测试案例；</w:t>
        <w:br/>
        <w:t>3. 相同参数设置。</w:t>
        <w:br/>
        <w:br/>
        <w:t>重点比较：</w:t>
        <w:br/>
        <w:t>1. 状态机遵循能力：是否跳过、重复或提前结束state；</w:t>
        <w:br/>
        <w:t>2. 中文语言自然度：是否存在病句、指代不清；</w:t>
        <w:br/>
        <w:t>3. 非标准用户表达理解能力；</w:t>
        <w:br/>
        <w:t>4. 响应速度；</w:t>
        <w:br/>
        <w:t>5. 20–25轮长对话稳定性。</w:t>
        <w:br/>
        <w:br/>
        <w:t>三、Codex新增验收任务</w:t>
        <w:br/>
        <w:br/>
        <w:t>1. 支持GPT和DeepSeek模型切换，不改变实验逻辑。</w:t>
        <w:br/>
        <w:t>2. 使用同一测试集生成模型比较报告。</w:t>
        <w:br/>
        <w:t>3. 记录响应时间、错误次数、状态跳转情况。</w:t>
        <w:br/>
        <w:t>4. 保留研究者人工语言评价结果。</w:t>
        <w:br/>
        <w:br/>
        <w:t>四、线上部署推进</w:t>
        <w:br/>
        <w:br/>
        <w:t>继续推进staging部署并提供Preview URL。</w:t>
        <w:br/>
        <w:br/>
        <w:t>目标：</w:t>
        <w:br/>
        <w:t>1. 用户通过网址进入，无需安装；</w:t>
        <w:br/>
        <w:t>2. 支持至少30名参与者同时作答；</w:t>
        <w:br/>
        <w:t>3. session和实验数据隔离；</w:t>
        <w:br/>
        <w:t>4. 数据完整导出。</w:t>
        <w:br/>
        <w:br/>
        <w:t>五、需要用户手动操作的事项</w:t>
        <w:br/>
        <w:br/>
        <w:t>如需用户操作，请明确告知。</w:t>
        <w:br/>
        <w:br/>
        <w:t>预计需要：</w:t>
        <w:br/>
        <w:t>1. 授权部署平台账号；</w:t>
        <w:br/>
        <w:t>2. 在Secret中填写API Key；</w:t>
        <w:br/>
        <w:t>3. 确认公开访问权限；</w:t>
        <w:br/>
        <w:t>4. 完成人工体验测试。</w:t>
        <w:br/>
        <w:br/>
        <w:t>用户不负责修改代码、服务器配置和数据库。</w:t>
        <w:br/>
        <w:br/>
        <w:t>六、导师测试前标准</w:t>
        <w:br/>
        <w:br/>
        <w:t>1. 有稳定Preview URL；</w:t>
        <w:br/>
        <w:t>2. GPT/DeepSeek完成初步比较；</w:t>
        <w:br/>
        <w:t>3. 研究者完成完整路径体验；</w:t>
        <w:br/>
        <w:t>4. 数据导出验证通过；</w:t>
        <w:br/>
        <w:t>5. 无明显状态机错误。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