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第31次交付验收报告：双模型对比准备与25轮诊断</w:t>
      </w:r>
    </w:p>
    <w:p>
      <w:r>
        <w:t>2026-10-14；本次输入附件第29次反馈，上一仓库交付5bc1ce1。本轮新增独立模型对比诊断及三项测试，不改平台实验逻辑。真实双模型和线上平台仍有外部条件未满足，不把fixture结果标成模型优劣。</w:t>
      </w:r>
    </w:p>
    <w:p>
      <w:pPr>
        <w:pStyle w:val="Heading2"/>
      </w:pPr>
      <w:r>
        <w:t>实际完成情况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新证据</w:t>
            </w:r>
          </w:p>
        </w:tc>
        <w:tc>
          <w:tcPr>
            <w:tcW w:type="dxa" w:w="2880"/>
          </w:tcPr>
          <w:p>
            <w:r>
              <w:t>结果与边界</w:t>
            </w:r>
          </w:p>
        </w:tc>
      </w:tr>
      <w:tr>
        <w:tc>
          <w:tcPr>
            <w:tcW w:type="dxa" w:w="2880"/>
          </w:tcPr>
          <w:p>
            <w:r>
              <w:t>原32配对案例</w:t>
            </w:r>
          </w:p>
        </w:tc>
        <w:tc>
          <w:tcPr>
            <w:tcW w:type="dxa" w:w="2880"/>
          </w:tcPr>
          <w:p>
            <w:r>
              <w:t>paired-fixture.json/.md，64行</w:t>
            </w:r>
          </w:p>
        </w:tc>
        <w:tc>
          <w:tcPr>
            <w:tcW w:type="dxa" w:w="2880"/>
          </w:tcPr>
          <w:p>
            <w:r>
              <w:t>完整初始Prompt相同，0流程标签错误/0快照变化；demoPolicy，不是正式研究验收</w:t>
            </w:r>
          </w:p>
        </w:tc>
      </w:tr>
      <w:tr>
        <w:tc>
          <w:tcPr>
            <w:tcW w:type="dxa" w:w="2880"/>
          </w:tcPr>
          <w:p>
            <w:r>
              <w:t>新25轮连续诊断</w:t>
            </w:r>
          </w:p>
        </w:tc>
        <w:tc>
          <w:tcPr>
            <w:tcW w:type="dxa" w:w="2880"/>
          </w:tcPr>
          <w:p>
            <w:r>
              <w:t>long-fixture.json，100行</w:t>
            </w:r>
          </w:p>
        </w:tc>
        <w:tc>
          <w:tcPr>
            <w:tcW w:type="dxa" w:w="2880"/>
          </w:tcPr>
          <w:p>
            <w:r>
              <w:t>2模型标签×2路径×25，每条保留独立历史；冻结mentorPolicy当前阶段</w:t>
            </w:r>
          </w:p>
        </w:tc>
      </w:tr>
      <w:tr>
        <w:tc>
          <w:tcPr>
            <w:tcW w:type="dxa" w:w="2880"/>
          </w:tcPr>
          <w:p>
            <w:r>
              <w:t>原候选/最终文本</w:t>
            </w:r>
          </w:p>
        </w:tc>
        <w:tc>
          <w:tcPr>
            <w:tcW w:type="dxa" w:w="2880"/>
          </w:tcPr>
          <w:p>
            <w:r>
              <w:t>两份fixture逐行保存</w:t>
            </w:r>
          </w:p>
        </w:tc>
        <w:tc>
          <w:tcPr>
            <w:tcW w:type="dxa" w:w="2880"/>
          </w:tcPr>
          <w:p>
            <w:r>
              <w:t>拒绝候选和兜底区分，不能把最终兜底误评为模型原话</w:t>
            </w:r>
          </w:p>
        </w:tc>
      </w:tr>
      <w:tr>
        <w:tc>
          <w:tcPr>
            <w:tcW w:type="dxa" w:w="2880"/>
          </w:tcPr>
          <w:p>
            <w:r>
              <w:t>非标准输入</w:t>
            </w:r>
          </w:p>
        </w:tc>
        <w:tc>
          <w:tcPr>
            <w:tcW w:type="dxa" w:w="2880"/>
          </w:tcPr>
          <w:p>
            <w:r>
              <w:t>固定五类中文表达循环</w:t>
            </w:r>
          </w:p>
        </w:tc>
        <w:tc>
          <w:tcPr>
            <w:tcW w:type="dxa" w:w="2880"/>
          </w:tcPr>
          <w:p>
            <w:r>
              <w:t>包括犹豫、口语、指代询问、简化表达、暂不下结论；仅构建案例，不判定真实理解力</w:t>
            </w:r>
          </w:p>
        </w:tc>
      </w:tr>
      <w:tr>
        <w:tc>
          <w:tcPr>
            <w:tcW w:type="dxa" w:w="2880"/>
          </w:tcPr>
          <w:p>
            <w:r>
              <w:t>流程错误/快照变化</w:t>
            </w:r>
          </w:p>
        </w:tc>
        <w:tc>
          <w:tcPr>
            <w:tcW w:type="dxa" w:w="2880"/>
          </w:tcPr>
          <w:p>
            <w:r>
              <w:t>两份fixture均0</w:t>
            </w:r>
          </w:p>
        </w:tc>
        <w:tc>
          <w:tcPr>
            <w:tcW w:type="dxa" w:w="2880"/>
          </w:tcPr>
          <w:p>
            <w:r>
              <w:t>Guard代理与实际生成前后hash分开；不等于模型能正确推进实验</w:t>
            </w:r>
          </w:p>
        </w:tc>
      </w:tr>
      <w:tr>
        <w:tc>
          <w:tcPr>
            <w:tcW w:type="dxa" w:w="2880"/>
          </w:tcPr>
          <w:p>
            <w:r>
              <w:t>连续性限制</w:t>
            </w:r>
          </w:p>
        </w:tc>
        <w:tc>
          <w:tcPr>
            <w:tcW w:type="dxa" w:w="2880"/>
          </w:tcPr>
          <w:p>
            <w:r>
              <w:t>后期完整记录48条历史，实际Context投影6条</w:t>
            </w:r>
          </w:p>
        </w:tc>
        <w:tc>
          <w:tcPr>
            <w:tcW w:type="dxa" w:w="2880"/>
          </w:tcPr>
          <w:p>
            <w:r>
              <w:t>记录25轮不代表全25轮被模型读入；无后端阶段事件提交</w:t>
            </w:r>
          </w:p>
        </w:tc>
      </w:tr>
      <w:tr>
        <w:tc>
          <w:tcPr>
            <w:tcW w:type="dxa" w:w="2880"/>
          </w:tcPr>
          <w:p>
            <w:r>
              <w:t>六维语言人评</w:t>
            </w:r>
          </w:p>
        </w:tc>
        <w:tc>
          <w:tcPr>
            <w:tcW w:type="dxa" w:w="2880"/>
          </w:tcPr>
          <w:p>
            <w:r>
              <w:t>human-language-review-template.json，164项</w:t>
            </w:r>
          </w:p>
        </w:tc>
        <w:tc>
          <w:tcPr>
            <w:tcW w:type="dxa" w:w="2880"/>
          </w:tcPr>
          <w:p>
            <w:r>
              <w:t>评分/签署全null，平均null；没有覆盖历史审核结果</w:t>
            </w:r>
          </w:p>
        </w:tc>
      </w:tr>
      <w:tr>
        <w:tc>
          <w:tcPr>
            <w:tcW w:type="dxa" w:w="2880"/>
          </w:tcPr>
          <w:p>
            <w:r>
              <w:t>GPT/DeepSeek配置</w:t>
            </w:r>
          </w:p>
        </w:tc>
        <w:tc>
          <w:tcPr>
            <w:tcW w:type="dxa" w:w="2880"/>
          </w:tcPr>
          <w:p>
            <w:r>
              <w:t>新检查变量存在性，没输出值</w:t>
            </w:r>
          </w:p>
        </w:tc>
        <w:tc>
          <w:tcPr>
            <w:tcW w:type="dxa" w:w="2880"/>
          </w:tcPr>
          <w:p>
            <w:r>
              <w:t>GPT_API_KEY/GPT_MODEL_NAME缺失；DeepSeek存在</w:t>
            </w:r>
          </w:p>
        </w:tc>
      </w:tr>
      <w:tr>
        <w:tc>
          <w:tcPr>
            <w:tcW w:type="dxa" w:w="2880"/>
          </w:tcPr>
          <w:p>
            <w:r>
              <w:t>真实两套预检</w:t>
            </w:r>
          </w:p>
        </w:tc>
        <w:tc>
          <w:tcPr>
            <w:tcW w:type="dxa" w:w="2880"/>
          </w:tcPr>
          <w:p>
            <w:r>
              <w:t>paired-real-preflight/long-real-preflight</w:t>
            </w:r>
          </w:p>
        </w:tc>
        <w:tc>
          <w:tcPr>
            <w:tcW w:type="dxa" w:w="2880"/>
          </w:tcPr>
          <w:p>
            <w:r>
              <w:t>exit2/not_run，0外部请求；预检不是模型质量结果</w:t>
            </w:r>
          </w:p>
        </w:tc>
      </w:tr>
      <w:tr>
        <w:tc>
          <w:tcPr>
            <w:tcW w:type="dxa" w:w="2880"/>
          </w:tcPr>
          <w:p>
            <w:r>
              <w:t>全套自动检查</w:t>
            </w:r>
          </w:p>
        </w:tc>
        <w:tc>
          <w:tcPr>
            <w:tcW w:type="dxa" w:w="2880"/>
          </w:tcPr>
          <w:p>
            <w:r>
              <w:t>check.log</w:t>
            </w:r>
          </w:p>
        </w:tc>
        <w:tc>
          <w:tcPr>
            <w:tcW w:type="dxa" w:w="2880"/>
          </w:tcPr>
          <w:p>
            <w:r>
              <w:t>455 Vitest/23文件、18 Playwright，类型/lint/格式/build通过</w:t>
            </w:r>
          </w:p>
        </w:tc>
      </w:tr>
      <w:tr>
        <w:tc>
          <w:tcPr>
            <w:tcW w:type="dxa" w:w="2880"/>
          </w:tcPr>
          <w:p>
            <w:r>
              <w:t>新针对性测试</w:t>
            </w:r>
          </w:p>
        </w:tc>
        <w:tc>
          <w:tcPr>
            <w:tcW w:type="dxa" w:w="2880"/>
          </w:tcPr>
          <w:p>
            <w:r>
              <w:t>long-tests.log</w:t>
            </w:r>
          </w:p>
        </w:tc>
        <w:tc>
          <w:tcPr>
            <w:tcW w:type="dxa" w:w="2880"/>
          </w:tcPr>
          <w:p>
            <w:r>
              <w:t>3通过：独立历史/基础一致、参数不一致提前拒绝、过程拒绝与快照分离</w:t>
            </w:r>
          </w:p>
        </w:tc>
      </w:tr>
    </w:tbl>
    <w:p>
      <w:r>
        <w:t>新的独立长对话工具不向正式实验注入新阶段，不延长情感路径正式上限，不改变研究评分。认知固定REFRAME_MEDIA_ALGORITHM，情感固定RELATIONSHIP，state_transitions为空；这是一项语言诊断，不能被解读为完整25轮实验链路通过。32独立案例初始完整Prompt配对相同；连续模式基础参数/阶段/输入相同，各模型用自己的历史，完整Prompt允许自然不同并实测记录哈希。CLI模拟两边生成相同文本，因此本次长fixture完整Prompt也相同；针对性测试用不同候选验证历史不会混入另一模型。</w:t>
      </w:r>
    </w:p>
    <w:p>
      <w:r>
        <w:t>语言指标均保留待人评。对比时延是整个Orchestrator elapsed（包含重试/校验/兜底），不宣称首token或供应商网络响应；HTTP供应商状态需真实额外证据。fixture纳秒/毫秒速度不用于模型选择。</w:t>
      </w:r>
    </w:p>
    <w:p>
      <w:pPr>
        <w:pStyle w:val="Heading2"/>
      </w:pPr>
      <w:r>
        <w:t>真实结果表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真实时延</w:t>
            </w:r>
          </w:p>
        </w:tc>
        <w:tc>
          <w:tcPr>
            <w:tcW w:type="dxa" w:w="1728"/>
          </w:tcPr>
          <w:p>
            <w:r>
              <w:t>流程错误率</w:t>
            </w:r>
          </w:p>
        </w:tc>
        <w:tc>
          <w:tcPr>
            <w:tcW w:type="dxa" w:w="1728"/>
          </w:tcPr>
          <w:p>
            <w:r>
              <w:t>状态违规次数</w:t>
            </w:r>
          </w:p>
        </w:tc>
        <w:tc>
          <w:tcPr>
            <w:tcW w:type="dxa" w:w="1728"/>
          </w:tcPr>
          <w:p>
            <w:r>
              <w:t>人工语言评分</w:t>
            </w:r>
          </w:p>
        </w:tc>
      </w:tr>
      <w:tr>
        <w:tc>
          <w:tcPr>
            <w:tcW w:type="dxa" w:w="1728"/>
          </w:tcPr>
          <w:p>
            <w:r>
              <w:t>GPT</w:t>
            </w:r>
          </w:p>
        </w:tc>
        <w:tc>
          <w:tcPr>
            <w:tcW w:type="dxa" w:w="1728"/>
          </w:tcPr>
          <w:p>
            <w:r>
              <w:t>未测</w:t>
            </w:r>
          </w:p>
        </w:tc>
        <w:tc>
          <w:tcPr>
            <w:tcW w:type="dxa" w:w="1728"/>
          </w:tcPr>
          <w:p>
            <w:r>
              <w:t>未测</w:t>
            </w:r>
          </w:p>
        </w:tc>
        <w:tc>
          <w:tcPr>
            <w:tcW w:type="dxa" w:w="1728"/>
          </w:tcPr>
          <w:p>
            <w:r>
              <w:t>未测</w:t>
            </w:r>
          </w:p>
        </w:tc>
        <w:tc>
          <w:tcPr>
            <w:tcW w:type="dxa" w:w="1728"/>
          </w:tcPr>
          <w:p>
            <w:r>
              <w:t>未评分</w:t>
            </w:r>
          </w:p>
        </w:tc>
      </w:tr>
      <w:tr>
        <w:tc>
          <w:tcPr>
            <w:tcW w:type="dxa" w:w="1728"/>
          </w:tcPr>
          <w:p>
            <w:r>
              <w:t>DeepSeek Flash</w:t>
            </w:r>
          </w:p>
        </w:tc>
        <w:tc>
          <w:tcPr>
            <w:tcW w:type="dxa" w:w="1728"/>
          </w:tcPr>
          <w:p>
            <w:r>
              <w:t>本轮未测</w:t>
            </w:r>
          </w:p>
        </w:tc>
        <w:tc>
          <w:tcPr>
            <w:tcW w:type="dxa" w:w="1728"/>
          </w:tcPr>
          <w:p>
            <w:r>
              <w:t>本轮未测</w:t>
            </w:r>
          </w:p>
        </w:tc>
        <w:tc>
          <w:tcPr>
            <w:tcW w:type="dxa" w:w="1728"/>
          </w:tcPr>
          <w:p>
            <w:r>
              <w:t>本轮未测</w:t>
            </w:r>
          </w:p>
        </w:tc>
        <w:tc>
          <w:tcPr>
            <w:tcW w:type="dxa" w:w="1728"/>
          </w:tcPr>
          <w:p>
            <w:r>
              <w:t>未评分</w:t>
            </w:r>
          </w:p>
        </w:tc>
      </w:tr>
    </w:tbl>
    <w:p>
      <w:r>
        <w:t>用户已经选择“配置后执行小规模真实对比”，但运行实际仍缺GPT密钥/模型名，不能把选择视为已经注入。已保存云环境草稿中的GPT_API_KEY要求（api.openai.com）和GPT_MODEL_NAME字段，原绑定/安装/网络保留；需用户在环境设置填写、保存、发布后核对。此前真实DeepSeek记录保留，不复用旧单模型延迟冒充新双模型配对。</w:t>
      </w:r>
    </w:p>
    <w:p>
      <w:r>
        <w:t>预算先运行32案例共64正常生成/最多128尝试；之后100连续生成/最多200尝试，全套164/328。共同temperature0.2、max_tokens512、timeout10000ms、attempts2。按每请求6000输入tokens规划，全套每家最多164请求，即984000输入/83968输出token，费用估算各家0.984×百万输入价＋0.083968×百万输出价；输入是估计、报价未知、实际消费另核对。供应商不支持共同参数/配额不足时停止并记录，不静默给不同参数。本轮真实费用0。</w:t>
      </w:r>
    </w:p>
    <w:p>
      <w:pPr>
        <w:pStyle w:val="Heading2"/>
      </w:pPr>
      <w:r>
        <w:t>线上与导师门禁</w:t>
      </w:r>
    </w:p>
    <w:p>
      <w:r>
        <w:t>Render仍是唯一首选，继续保留同域Web/托管PG Blueprint。当前没有Render授权或已创建资源，没有长期开源Site部署工具，external_url=null；平台Secret绑定、托管DB持久化、安全HTTPS、不同设备和30真实模型并发未验收。用户只需平台账号授权、Secret和套餐费用确认后部署，参与者无需安装。部署指南、30人预算、前两轮30/45工程验收全部保留，本轮不重复声称为新的线上结果。</w:t>
      </w:r>
    </w:p>
    <w:p>
      <w:r>
        <w:t>researcher_online_self_test_ready=false、mentor_test_ready=false、formal_ready=false。导师邀请需真实初步模型比较、稳定公网地址、本人认知/情感完整自由体验及日常检查、完整导出、基础线上并发/状态无明显问题与同批语言审核整改通过。当前不承诺具体日期。历史认知9重试/8兜底仍待人评，不能用本次0错误fixture覆盖它。</w:t>
      </w:r>
    </w:p>
    <w:p>
      <w:pPr>
        <w:pStyle w:val="Heading2"/>
      </w:pPr>
      <w:r>
        <w:t>文件范围与交付</w:t>
      </w:r>
    </w:p>
    <w:p>
      <w:r>
        <w:t>新增scripts/model-long-dialogue-comparison.mjs/.d.mts、apps/api/tests/model-long-dialogue-comparison.test.ts；新增本报告/给GPT反馈/操作指南的Markdown和Word、原附件、step6-round31证据；README最新入口。平台apps/*/src、核心包/Adapter/Validator、研究配置、迁移、部署代码/配置、依赖与锁保持5bc1ce1基线。</w:t>
      </w:r>
    </w:p>
    <w:p>
      <w:r>
        <w:t>生成数据和评分模板仅为合成/fixture。人评来源SHA与JSON绑定，文件不含Secret或真实参与者口令。新工具报告追加重试/失败尝试数与实测完整Prompt一致性后，针对性3测试和lint再过；完整原回归已过，不用重复整套刷数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第31次交付 · 模型比较准备／真实与导师未放行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