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给GPT的第31次交付反馈：模型对比与线上部署</w:t>
      </w:r>
    </w:p>
    <w:p>
      <w:r>
        <w:t>2026-10-14，源附件第29次反馈。本轮保留原GPT/DeepSeek环境切换架构、32个同条件配对案例，新增25轮连续对话诊断、三项针对性测试和六维人工评价模板。实验核心、Orchestrator、Validator、Adapter、冻结配置、Prompt、业务服务、数据库及依赖全部不变。</w:t>
      </w:r>
    </w:p>
    <w:p>
      <w:pPr>
        <w:pStyle w:val="Heading2"/>
      </w:pPr>
      <w:r>
        <w:t>完成与阻塞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本轮成果</w:t>
            </w:r>
          </w:p>
        </w:tc>
        <w:tc>
          <w:tcPr>
            <w:tcW w:type="dxa" w:w="2880"/>
          </w:tcPr>
          <w:p>
            <w:r>
              <w:t>当前边界</w:t>
            </w:r>
          </w:p>
        </w:tc>
      </w:tr>
      <w:tr>
        <w:tc>
          <w:tcPr>
            <w:tcW w:type="dxa" w:w="2880"/>
          </w:tcPr>
          <w:p>
            <w:r>
              <w:t>GPT/DeepSeek切换</w:t>
            </w:r>
          </w:p>
        </w:tc>
        <w:tc>
          <w:tcPr>
            <w:tcW w:type="dxa" w:w="2880"/>
          </w:tcPr>
          <w:p>
            <w:r>
              <w:t>已有独立provider/key/model/endpoint选择，本轮保留</w:t>
            </w:r>
          </w:p>
        </w:tc>
        <w:tc>
          <w:tcPr>
            <w:tcW w:type="dxa" w:w="2880"/>
          </w:tcPr>
          <w:p>
            <w:r>
              <w:t>同参数；旧批次不静默换模型</w:t>
            </w:r>
          </w:p>
        </w:tc>
      </w:tr>
      <w:tr>
        <w:tc>
          <w:tcPr>
            <w:tcW w:type="dxa" w:w="2880"/>
          </w:tcPr>
          <w:p>
            <w:r>
              <w:t>32案例同条件配对</w:t>
            </w:r>
          </w:p>
        </w:tc>
        <w:tc>
          <w:tcPr>
            <w:tcW w:type="dxa" w:w="2880"/>
          </w:tcPr>
          <w:p>
            <w:r>
              <w:t>64行新fixture报告</w:t>
            </w:r>
          </w:p>
        </w:tc>
        <w:tc>
          <w:tcPr>
            <w:tcW w:type="dxa" w:w="2880"/>
          </w:tcPr>
          <w:p>
            <w:r>
              <w:t>两边完整初始Prompt相同；demoPolicy，非正式研究Prompt</w:t>
            </w:r>
          </w:p>
        </w:tc>
      </w:tr>
      <w:tr>
        <w:tc>
          <w:tcPr>
            <w:tcW w:type="dxa" w:w="2880"/>
          </w:tcPr>
          <w:p>
            <w:r>
              <w:t>25轮长对话</w:t>
            </w:r>
          </w:p>
        </w:tc>
        <w:tc>
          <w:tcPr>
            <w:tcW w:type="dxa" w:w="2880"/>
          </w:tcPr>
          <w:p>
            <w:r>
              <w:t>两条路径×两个标签×25，100行新fixture报告</w:t>
            </w:r>
          </w:p>
        </w:tc>
        <w:tc>
          <w:tcPr>
            <w:tcW w:type="dxa" w:w="2880"/>
          </w:tcPr>
          <w:p>
            <w:r>
              <w:t>当前阶段固定、使用冻结mentorPolicy；不是完整路径</w:t>
            </w:r>
          </w:p>
        </w:tc>
      </w:tr>
      <w:tr>
        <w:tc>
          <w:tcPr>
            <w:tcW w:type="dxa" w:w="2880"/>
          </w:tcPr>
          <w:p>
            <w:r>
              <w:t>对比指标</w:t>
            </w:r>
          </w:p>
        </w:tc>
        <w:tc>
          <w:tcPr>
            <w:tcW w:type="dxa" w:w="2880"/>
          </w:tcPr>
          <w:p>
            <w:r>
              <w:t>时延/拒绝流程标签/失败/兜底/状态哈希/原候选保留</w:t>
            </w:r>
          </w:p>
        </w:tc>
        <w:tc>
          <w:tcPr>
            <w:tcW w:type="dxa" w:w="2880"/>
          </w:tcPr>
          <w:p>
            <w:r>
              <w:t>fixture不能作真实排名</w:t>
            </w:r>
          </w:p>
        </w:tc>
      </w:tr>
      <w:tr>
        <w:tc>
          <w:tcPr>
            <w:tcW w:type="dxa" w:w="2880"/>
          </w:tcPr>
          <w:p>
            <w:r>
              <w:t>人工语言评价</w:t>
            </w:r>
          </w:p>
        </w:tc>
        <w:tc>
          <w:tcPr>
            <w:tcW w:type="dxa" w:w="2880"/>
          </w:tcPr>
          <w:p>
            <w:r>
              <w:t>六维模板，现有历史决定不覆盖</w:t>
            </w:r>
          </w:p>
        </w:tc>
        <w:tc>
          <w:tcPr>
            <w:tcW w:type="dxa" w:w="2880"/>
          </w:tcPr>
          <w:p>
            <w:r>
              <w:t>0项评分，全部null，未捏造人评</w:t>
            </w:r>
          </w:p>
        </w:tc>
      </w:tr>
      <w:tr>
        <w:tc>
          <w:tcPr>
            <w:tcW w:type="dxa" w:w="2880"/>
          </w:tcPr>
          <w:p>
            <w:r>
              <w:t>GPT真实配置</w:t>
            </w:r>
          </w:p>
        </w:tc>
        <w:tc>
          <w:tcPr>
            <w:tcW w:type="dxa" w:w="2880"/>
          </w:tcPr>
          <w:p>
            <w:r>
              <w:t>已保存Secret和模型名要求至云环境草稿</w:t>
            </w:r>
          </w:p>
        </w:tc>
        <w:tc>
          <w:tcPr>
            <w:tcW w:type="dxa" w:w="2880"/>
          </w:tcPr>
          <w:p>
            <w:r>
              <w:t>实际运行仍未注入GPT_API_KEY/GPT_MODEL_NAME</w:t>
            </w:r>
          </w:p>
        </w:tc>
      </w:tr>
      <w:tr>
        <w:tc>
          <w:tcPr>
            <w:tcW w:type="dxa" w:w="2880"/>
          </w:tcPr>
          <w:p>
            <w:r>
              <w:t>真实双模型测试</w:t>
            </w:r>
          </w:p>
        </w:tc>
        <w:tc>
          <w:tcPr>
            <w:tcW w:type="dxa" w:w="2880"/>
          </w:tcPr>
          <w:p>
            <w:r>
              <w:t>两命令预检exit2/not_run，外部调用0</w:t>
            </w:r>
          </w:p>
        </w:tc>
        <w:tc>
          <w:tcPr>
            <w:tcW w:type="dxa" w:w="2880"/>
          </w:tcPr>
          <w:p>
            <w:r>
              <w:t>用户已选择配置后执行，但选择不等于密钥已注入</w:t>
            </w:r>
          </w:p>
        </w:tc>
      </w:tr>
      <w:tr>
        <w:tc>
          <w:tcPr>
            <w:tcW w:type="dxa" w:w="2880"/>
          </w:tcPr>
          <w:p>
            <w:r>
              <w:t>Render部署</w:t>
            </w:r>
          </w:p>
        </w:tc>
        <w:tc>
          <w:tcPr>
            <w:tcW w:type="dxa" w:w="2880"/>
          </w:tcPr>
          <w:p>
            <w:r>
              <w:t>保留唯一首选方案和完整Blueprint</w:t>
            </w:r>
          </w:p>
        </w:tc>
        <w:tc>
          <w:tcPr>
            <w:tcW w:type="dxa" w:w="2880"/>
          </w:tcPr>
          <w:p>
            <w:r>
              <w:t>仍无平台授权/资源/URL，未创建付费资源</w:t>
            </w:r>
          </w:p>
        </w:tc>
      </w:tr>
    </w:tbl>
    <w:p>
      <w:r>
        <w:t>连续诊断使用各模型自己的回复历史，因此共同基础Prompt一致，但完整Prompt从第二轮起可能不同。完整25轮记录保存，原Context Manager仅投影近期历史；实际模拟末轮6条。它不推进任何状态、不改变正式情感轮数，也不证明完整实验状态跳转通过。上一套独立32案例与该连续诊断互补，不互相冒充。</w:t>
      </w:r>
    </w:p>
    <w:p>
      <w:pPr>
        <w:pStyle w:val="Heading2"/>
      </w:pPr>
      <w:r>
        <w:t>请研究者完成的动作</w:t>
      </w:r>
    </w:p>
    <w:p>
      <w:r>
        <w:t>在云环境设置安全绑定GPT_API_KEY并填写账户可用GPT_MODEL_NAME，保存并发布，随后核对真实注入并先运行32案例配对。不要把密钥发聊天。模型参数兼容性需确认，不能给两家偷偷用不同参数。全套预算预计164正常调用/最多328尝试；先配对64/最多128，连续100/最多200。账户报价未取得，费用公式与方法见round31-model-comparison-guide.md。</w:t>
      </w:r>
    </w:p>
    <w:p>
      <w:r>
        <w:t>公网部署继续按Render指南：账号/指定GitHub仓库授权、服务器Secret、控制台套餐费用确认并点击部署。Codex自己的Secret不会自动搬到Render。参与者只用浏览器，不让研究者改代码/数据库/服务器。</w:t>
      </w:r>
    </w:p>
    <w:p>
      <w:pPr>
        <w:pStyle w:val="Heading2"/>
      </w:pPr>
      <w:r>
        <w:t>导师验证时间</w:t>
      </w:r>
    </w:p>
    <w:p>
      <w:r>
        <w:t>尚无稳定HTTPS网址，真实双模型初步比较未完成，研究者本人完整体验/同批人评待做，所以不放行导师。完成网址上线、模型初步比较、本人认知/情感完整体验及日常检查、数据导出、线上基础并发和无明显状态/语言问题后再邀请。无证据支持具体日期，不承诺“几天内”。正式招募仍需导师和正式条件。</w:t>
      </w:r>
    </w:p>
    <w:p>
      <w:r>
        <w:t>本轮ZIP包含新反馈/验收/模型操作说明的Markdown与Word、原附件、全部模拟与not_run原报告、人工模板和新回归证据，保留前轮Render与30/45工程验收。请GPT下一步帮助完成实际Secret/托管授权，拿真实证据，不继续扩展实验逻辑或凭模拟时延选择供应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第31次交付 · 模型比较准备／真实与导师未放行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