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AI心理辅导系统商业模式与学校采购逻辑分析</w:t>
      </w:r>
    </w:p>
    <w:p>
      <w:pPr>
        <w:pStyle w:val="Heading1"/>
      </w:pPr>
      <w:r>
        <w:t>一、市场分析</w:t>
      </w:r>
    </w:p>
    <w:p>
      <w:pPr>
        <w:pStyle w:val="Heading2"/>
      </w:pPr>
      <w:r>
        <w:t>1.1 K12教育市场规模</w:t>
      </w:r>
    </w:p>
    <w:p>
      <w:r>
        <w:t>中国K12教育市场规模持续增长，2024年市场规模约达5.2万亿元人民币。心理健康教育作为素质教育的重要组成部分，占据越来越重要的地位。随着政策推动和社会认知提升，校园心理健康服务市场呈现快速增长态势。</w:t>
      </w:r>
    </w:p>
    <w:p>
      <w:pPr>
        <w:pStyle w:val="Heading2"/>
      </w:pPr>
      <w:r>
        <w:t>1.2 心理健康教育政策驱动</w:t>
      </w:r>
    </w:p>
    <w:p>
      <w:r>
        <w:t>近年来，国家层面出台多项政策推动校园心理健康工作：</w:t>
      </w:r>
    </w:p>
    <w:p>
      <w:pPr>
        <w:pStyle w:val="ListBullet"/>
      </w:pPr>
      <w:r>
        <w:t>2019年：国家卫健委等12部门发布《健康中国行动——儿童青少年心理健康行动方案（2019—2022年）》</w:t>
      </w:r>
    </w:p>
    <w:p>
      <w:pPr>
        <w:pStyle w:val="ListBullet"/>
      </w:pPr>
      <w:r>
        <w:t>2021年：教育部办公厅发布《关于加强学生心理健康管理工作的通知》，明确要求中小学配备心理辅导室</w:t>
      </w:r>
    </w:p>
    <w:p>
      <w:pPr>
        <w:pStyle w:val="ListBullet"/>
      </w:pPr>
      <w:r>
        <w:t>2022年：《中华人民共和国未成年人保护法》修订，明确学校保护责任</w:t>
      </w:r>
    </w:p>
    <w:p>
      <w:pPr>
        <w:pStyle w:val="ListBullet"/>
      </w:pPr>
      <w:r>
        <w:t>2023年：《全面加强和改进新时代学生心理健康工作专项行动计划（2023—2025年）》</w:t>
      </w:r>
    </w:p>
    <w:p>
      <w:pPr>
        <w:pStyle w:val="ListBullet"/>
      </w:pPr>
      <w:r>
        <w:t>2024年：《学生心理健康工作体系建设三年行动计划》启动实施</w:t>
      </w:r>
    </w:p>
    <w:p>
      <w:pPr>
        <w:pStyle w:val="Heading2"/>
      </w:pPr>
      <w:r>
        <w:t>1.3 学校心理辅导现状与痛点</w:t>
      </w:r>
    </w:p>
    <w:p>
      <w:pPr>
        <w:pStyle w:val="ListBullet"/>
      </w:pPr>
      <w:r>
        <w:rPr>
          <w:b/>
        </w:rPr>
        <w:t>专业人才匮乏：</w:t>
      </w:r>
      <w:r>
        <w:t>全国仅有约3万名专职中小学心理健康教育教师，师生比远低于发达国家水平</w:t>
      </w:r>
    </w:p>
    <w:p>
      <w:pPr>
        <w:pStyle w:val="ListBullet"/>
      </w:pPr>
      <w:r>
        <w:rPr>
          <w:b/>
        </w:rPr>
        <w:t>筛查效率低下：</w:t>
      </w:r>
      <w:r>
        <w:t>传统心理筛查依赖纸质问卷，人工分析耗时长、主观性强、覆盖面窄</w:t>
      </w:r>
    </w:p>
    <w:p>
      <w:pPr>
        <w:pStyle w:val="ListBullet"/>
      </w:pPr>
      <w:r>
        <w:rPr>
          <w:b/>
        </w:rPr>
        <w:t>预警机制缺失：</w:t>
      </w:r>
      <w:r>
        <w:t>缺乏实时监测和早期预警手段，往往在问题爆发后才被发现</w:t>
      </w:r>
    </w:p>
    <w:p>
      <w:pPr>
        <w:pStyle w:val="ListBullet"/>
      </w:pPr>
      <w:r>
        <w:rPr>
          <w:b/>
        </w:rPr>
        <w:t>家校协同困难：</w:t>
      </w:r>
      <w:r>
        <w:t>心理问题识别和干预需要多方协同，但缺乏有效的信息共享机制</w:t>
      </w:r>
    </w:p>
    <w:p>
      <w:pPr>
        <w:pStyle w:val="ListBullet"/>
      </w:pPr>
      <w:r>
        <w:rPr>
          <w:b/>
        </w:rPr>
        <w:t>隐私保护不足：</w:t>
      </w:r>
      <w:r>
        <w:t>学生心理数据的采集、存储、使用缺乏规范，存在隐私泄露风险</w:t>
      </w:r>
    </w:p>
    <w:p>
      <w:pPr>
        <w:pStyle w:val="Heading2"/>
      </w:pPr>
      <w:r>
        <w:t>1.4 目标客户画像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客户类型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特征描述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核心需求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采购决策权</w:t>
            </w:r>
          </w:p>
        </w:tc>
      </w:tr>
      <w:tr>
        <w:tc>
          <w:tcPr>
            <w:tcW w:type="dxa" w:w="2160"/>
          </w:tcPr>
          <w:p>
            <w:r>
              <w:t>重点中学</w:t>
            </w:r>
          </w:p>
        </w:tc>
        <w:tc>
          <w:tcPr>
            <w:tcW w:type="dxa" w:w="2160"/>
          </w:tcPr>
          <w:p>
            <w:r>
              <w:t>高考压力大、心理问题突出</w:t>
            </w:r>
          </w:p>
        </w:tc>
        <w:tc>
          <w:tcPr>
            <w:tcW w:type="dxa" w:w="2160"/>
          </w:tcPr>
          <w:p>
            <w:r>
              <w:t>高效筛查、快速预警</w:t>
            </w:r>
          </w:p>
        </w:tc>
        <w:tc>
          <w:tcPr>
            <w:tcW w:type="dxa" w:w="2160"/>
          </w:tcPr>
          <w:p>
            <w:r>
              <w:t>校长、教务处</w:t>
            </w:r>
          </w:p>
        </w:tc>
      </w:tr>
      <w:tr>
        <w:tc>
          <w:tcPr>
            <w:tcW w:type="dxa" w:w="2160"/>
          </w:tcPr>
          <w:p>
            <w:r>
              <w:t>普通中小学</w:t>
            </w:r>
          </w:p>
        </w:tc>
        <w:tc>
          <w:tcPr>
            <w:tcW w:type="dxa" w:w="2160"/>
          </w:tcPr>
          <w:p>
            <w:r>
              <w:t>资源有限、人员不足</w:t>
            </w:r>
          </w:p>
        </w:tc>
        <w:tc>
          <w:tcPr>
            <w:tcW w:type="dxa" w:w="2160"/>
          </w:tcPr>
          <w:p>
            <w:r>
              <w:t>性价比、简单易用</w:t>
            </w:r>
          </w:p>
        </w:tc>
        <w:tc>
          <w:tcPr>
            <w:tcW w:type="dxa" w:w="2160"/>
          </w:tcPr>
          <w:p>
            <w:r>
              <w:t>校长、总务处</w:t>
            </w:r>
          </w:p>
        </w:tc>
      </w:tr>
      <w:tr>
        <w:tc>
          <w:tcPr>
            <w:tcW w:type="dxa" w:w="2160"/>
          </w:tcPr>
          <w:p>
            <w:r>
              <w:t>教育局</w:t>
            </w:r>
          </w:p>
        </w:tc>
        <w:tc>
          <w:tcPr>
            <w:tcW w:type="dxa" w:w="2160"/>
          </w:tcPr>
          <w:p>
            <w:r>
              <w:t>统筹区域学校管理</w:t>
            </w:r>
          </w:p>
        </w:tc>
        <w:tc>
          <w:tcPr>
            <w:tcW w:type="dxa" w:w="2160"/>
          </w:tcPr>
          <w:p>
            <w:r>
              <w:t>统一平台、数据汇总</w:t>
            </w:r>
          </w:p>
        </w:tc>
        <w:tc>
          <w:tcPr>
            <w:tcW w:type="dxa" w:w="2160"/>
          </w:tcPr>
          <w:p>
            <w:r>
              <w:t>局长、科室负责人</w:t>
            </w:r>
          </w:p>
        </w:tc>
      </w:tr>
      <w:tr>
        <w:tc>
          <w:tcPr>
            <w:tcW w:type="dxa" w:w="2160"/>
          </w:tcPr>
          <w:p>
            <w:r>
              <w:t>国际学校</w:t>
            </w:r>
          </w:p>
        </w:tc>
        <w:tc>
          <w:tcPr>
            <w:tcW w:type="dxa" w:w="2160"/>
          </w:tcPr>
          <w:p>
            <w:r>
              <w:t>家长期望高、注重隐私</w:t>
            </w:r>
          </w:p>
        </w:tc>
        <w:tc>
          <w:tcPr>
            <w:tcW w:type="dxa" w:w="2160"/>
          </w:tcPr>
          <w:p>
            <w:r>
              <w:t>高品质服务、数据安全</w:t>
            </w:r>
          </w:p>
        </w:tc>
        <w:tc>
          <w:tcPr>
            <w:tcW w:type="dxa" w:w="2160"/>
          </w:tcPr>
          <w:p>
            <w:r>
              <w:t>校董会、外籍校长</w:t>
            </w:r>
          </w:p>
        </w:tc>
      </w:tr>
    </w:tbl>
    <w:p/>
    <w:p>
      <w:pPr>
        <w:pStyle w:val="Heading1"/>
      </w:pPr>
      <w:r>
        <w:t>二、商业模式设计</w:t>
      </w:r>
    </w:p>
    <w:p>
      <w:pPr>
        <w:pStyle w:val="Heading2"/>
      </w:pPr>
      <w:r>
        <w:t>2.1 SaaS订阅模式</w:t>
      </w:r>
    </w:p>
    <w:p>
      <w:r>
        <w:rPr>
          <w:b/>
        </w:rPr>
        <w:t>采用SaaS订阅模式，降低学校前期投入成本，提高产品可及性。</w:t>
      </w:r>
    </w:p>
    <w:p>
      <w:pPr>
        <w:pStyle w:val="Heading3"/>
      </w:pPr>
      <w:r>
        <w:t>按学校/按学生收费</w:t>
      </w:r>
    </w:p>
    <w:p>
      <w:pPr>
        <w:pStyle w:val="ListBullet"/>
      </w:pPr>
      <w:r>
        <w:t>按学校收费：适合规模较大、预算独立的重点学校</w:t>
      </w:r>
    </w:p>
    <w:p>
      <w:pPr>
        <w:pStyle w:val="ListBullet"/>
      </w:pPr>
      <w:r>
        <w:t>按学生收费：适合统一采购的教育局集采项目</w:t>
      </w:r>
    </w:p>
    <w:p>
      <w:pPr>
        <w:pStyle w:val="ListBullet"/>
      </w:pPr>
      <w:r>
        <w:t>建议采用"基础学生数+超出部分按量计费"模式</w:t>
      </w:r>
    </w:p>
    <w:p>
      <w:pPr>
        <w:pStyle w:val="Heading3"/>
      </w:pPr>
      <w:r>
        <w:t>年费制vs月费制</w:t>
      </w:r>
    </w:p>
    <w:p>
      <w:pPr>
        <w:pStyle w:val="ListBullet"/>
      </w:pPr>
      <w:r>
        <w:t>年费制：给予8-9折优惠，降低续费摩擦，提高现金流可预测性</w:t>
      </w:r>
    </w:p>
    <w:p>
      <w:pPr>
        <w:pStyle w:val="ListBullet"/>
      </w:pPr>
      <w:r>
        <w:t>月费制：适合试点项目或短期需求，灵活性高但单价较高</w:t>
      </w:r>
    </w:p>
    <w:p>
      <w:pPr>
        <w:pStyle w:val="ListBullet"/>
      </w:pPr>
      <w:r>
        <w:t>建议主流推广年费制，季度付为辅</w:t>
      </w:r>
    </w:p>
    <w:p>
      <w:pPr>
        <w:pStyle w:val="Heading3"/>
      </w:pPr>
      <w:r>
        <w:t>分层定价（基础版/专业版/旗舰版）</w:t>
      </w:r>
    </w:p>
    <w:p>
      <w:pPr>
        <w:pStyle w:val="ListBullet"/>
      </w:pPr>
      <w:r>
        <w:t>基础版（99元/生/年）：核心筛查+基础报告+单校管理</w:t>
      </w:r>
    </w:p>
    <w:p>
      <w:pPr>
        <w:pStyle w:val="ListBullet"/>
      </w:pPr>
      <w:r>
        <w:t>专业版（159元/生/年）：AI对话+危机预警+家校互通+教师培训</w:t>
      </w:r>
    </w:p>
    <w:p>
      <w:pPr>
        <w:pStyle w:val="ListBullet"/>
      </w:pPr>
      <w:r>
        <w:t>旗舰版（259元/生/年）：全功能+专属实施+区域数据看板+优先支持</w:t>
      </w:r>
    </w:p>
    <w:p>
      <w:pPr>
        <w:pStyle w:val="Heading2"/>
      </w:pPr>
      <w:r>
        <w:t>2.2 采购决策链分析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关注点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影响策略</w:t>
            </w:r>
          </w:p>
        </w:tc>
      </w:tr>
      <w:tr>
        <w:tc>
          <w:tcPr>
            <w:tcW w:type="dxa" w:w="2160"/>
          </w:tcPr>
          <w:p>
            <w:r>
              <w:t>决策者</w:t>
              <w:br/>
              <w:t>（校长/教育局）</w:t>
            </w:r>
          </w:p>
        </w:tc>
        <w:tc>
          <w:tcPr>
            <w:tcW w:type="dxa" w:w="2160"/>
          </w:tcPr>
          <w:p>
            <w:r>
              <w:t>最终批准采购</w:t>
            </w:r>
          </w:p>
        </w:tc>
        <w:tc>
          <w:tcPr>
            <w:tcW w:type="dxa" w:w="2160"/>
          </w:tcPr>
          <w:p>
            <w:r>
              <w:t>政策合规、舆论风险、投入产出比</w:t>
            </w:r>
          </w:p>
        </w:tc>
        <w:tc>
          <w:tcPr>
            <w:tcW w:type="dxa" w:w="2160"/>
          </w:tcPr>
          <w:p>
            <w:r>
              <w:t>政策解读、案例背书、风险兜底承诺</w:t>
            </w:r>
          </w:p>
        </w:tc>
      </w:tr>
      <w:tr>
        <w:tc>
          <w:tcPr>
            <w:tcW w:type="dxa" w:w="2160"/>
          </w:tcPr>
          <w:p>
            <w:r>
              <w:t>影响者</w:t>
              <w:br/>
              <w:t>（心理老师/班主任）</w:t>
            </w:r>
          </w:p>
        </w:tc>
        <w:tc>
          <w:tcPr>
            <w:tcW w:type="dxa" w:w="2160"/>
          </w:tcPr>
          <w:p>
            <w:r>
              <w:t>提供采购建议</w:t>
            </w:r>
          </w:p>
        </w:tc>
        <w:tc>
          <w:tcPr>
            <w:tcW w:type="dxa" w:w="2160"/>
          </w:tcPr>
          <w:p>
            <w:r>
              <w:t>功能实用性、工作量降低</w:t>
            </w:r>
          </w:p>
        </w:tc>
        <w:tc>
          <w:tcPr>
            <w:tcW w:type="dxa" w:w="2160"/>
          </w:tcPr>
          <w:p>
            <w:r>
              <w:t>产品培训、操作演示、满意度保障</w:t>
            </w:r>
          </w:p>
        </w:tc>
      </w:tr>
      <w:tr>
        <w:tc>
          <w:tcPr>
            <w:tcW w:type="dxa" w:w="2160"/>
          </w:tcPr>
          <w:p>
            <w:r>
              <w:t>使用者</w:t>
              <w:br/>
              <w:t>（学生）</w:t>
            </w:r>
          </w:p>
        </w:tc>
        <w:tc>
          <w:tcPr>
            <w:tcW w:type="dxa" w:w="2160"/>
          </w:tcPr>
          <w:p>
            <w:r>
              <w:t>实际使用产品</w:t>
            </w:r>
          </w:p>
        </w:tc>
        <w:tc>
          <w:tcPr>
            <w:tcW w:type="dxa" w:w="2160"/>
          </w:tcPr>
          <w:p>
            <w:r>
              <w:t>体验流畅、隐私保护</w:t>
            </w:r>
          </w:p>
        </w:tc>
        <w:tc>
          <w:tcPr>
            <w:tcW w:type="dxa" w:w="2160"/>
          </w:tcPr>
          <w:p>
            <w:r>
              <w:t>趣味设计、正向反馈机制</w:t>
            </w:r>
          </w:p>
        </w:tc>
      </w:tr>
      <w:tr>
        <w:tc>
          <w:tcPr>
            <w:tcW w:type="dxa" w:w="2160"/>
          </w:tcPr>
          <w:p>
            <w:r>
              <w:t>评估者</w:t>
              <w:br/>
              <w:t>（家委会）</w:t>
            </w:r>
          </w:p>
        </w:tc>
        <w:tc>
          <w:tcPr>
            <w:tcW w:type="dxa" w:w="2160"/>
          </w:tcPr>
          <w:p>
            <w:r>
              <w:t>监督服务质量</w:t>
            </w:r>
          </w:p>
        </w:tc>
        <w:tc>
          <w:tcPr>
            <w:tcW w:type="dxa" w:w="2160"/>
          </w:tcPr>
          <w:p>
            <w:r>
              <w:t>安全性、效果可见</w:t>
            </w:r>
          </w:p>
        </w:tc>
        <w:tc>
          <w:tcPr>
            <w:tcW w:type="dxa" w:w="2160"/>
          </w:tcPr>
          <w:p>
            <w:r>
              <w:t>透明报告、家长开放日</w:t>
            </w:r>
          </w:p>
        </w:tc>
      </w:tr>
    </w:tbl>
    <w:p/>
    <w:p>
      <w:pPr>
        <w:pStyle w:val="Heading2"/>
      </w:pPr>
      <w:r>
        <w:t>2.3 采购触发点</w:t>
      </w:r>
    </w:p>
    <w:p>
      <w:r>
        <w:rPr>
          <w:b/>
        </w:rPr>
        <w:t>政策要求：</w:t>
      </w:r>
      <w:r>
        <w:t>必须配备 — 教育部/省厅明确要求，心理测评系统成为学校达标项（教育局红头文件、达标验收时间节点）</w:t>
      </w:r>
    </w:p>
    <w:p>
      <w:r>
        <w:rPr>
          <w:b/>
        </w:rPr>
        <w:t>事件驱动：</w:t>
      </w:r>
      <w:r>
        <w:t>心理事件发生 — 学生心理危机事件引起重视，主动寻求预防工具（突发事件、媒体报道、同类学校案例）</w:t>
      </w:r>
    </w:p>
    <w:p>
      <w:r>
        <w:rPr>
          <w:b/>
        </w:rPr>
        <w:t>指标考核：</w:t>
      </w:r>
      <w:r>
        <w:t>心理筛查要求 — 将心理健康筛查率、预警准确率纳入学校考核（考核周期、考核指标、排名压力）</w:t>
      </w:r>
    </w:p>
    <w:p>
      <w:r>
        <w:rPr>
          <w:b/>
        </w:rPr>
        <w:t>竞品对比：</w:t>
      </w:r>
      <w:r>
        <w:t>替换现有方案 — 现有系统功能落后或服务不佳，考虑更换（竞品弱点、本产品差异化优势）</w:t>
      </w:r>
    </w:p>
    <w:p>
      <w:pPr>
        <w:pStyle w:val="Heading1"/>
      </w:pPr>
      <w:r>
        <w:t>三、定价策略</w:t>
      </w:r>
    </w:p>
    <w:p>
      <w:pPr>
        <w:pStyle w:val="Heading2"/>
      </w:pPr>
      <w:r>
        <w:t>3.1 参考竞品定价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定价区间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心理云平台</w:t>
            </w:r>
          </w:p>
        </w:tc>
        <w:tc>
          <w:tcPr>
            <w:tcW w:type="dxa" w:w="2160"/>
          </w:tcPr>
          <w:p>
            <w:r>
              <w:t>80-150元/生/年</w:t>
            </w:r>
          </w:p>
        </w:tc>
        <w:tc>
          <w:tcPr>
            <w:tcW w:type="dxa" w:w="2160"/>
          </w:tcPr>
          <w:p>
            <w:r>
              <w:t>中端市场</w:t>
            </w:r>
          </w:p>
        </w:tc>
        <w:tc>
          <w:tcPr>
            <w:tcW w:type="dxa" w:w="2160"/>
          </w:tcPr>
          <w:p>
            <w:r>
              <w:t>功能较全但AI能力弱</w:t>
            </w:r>
          </w:p>
        </w:tc>
      </w:tr>
      <w:tr>
        <w:tc>
          <w:tcPr>
            <w:tcW w:type="dxa" w:w="2160"/>
          </w:tcPr>
          <w:p>
            <w:r>
              <w:t>测评公司传统软件</w:t>
            </w:r>
          </w:p>
        </w:tc>
        <w:tc>
          <w:tcPr>
            <w:tcW w:type="dxa" w:w="2160"/>
          </w:tcPr>
          <w:p>
            <w:r>
              <w:t>50-100元/生/年</w:t>
            </w:r>
          </w:p>
        </w:tc>
        <w:tc>
          <w:tcPr>
            <w:tcW w:type="dxa" w:w="2160"/>
          </w:tcPr>
          <w:p>
            <w:r>
              <w:t>中低端市场</w:t>
            </w:r>
          </w:p>
        </w:tc>
        <w:tc>
          <w:tcPr>
            <w:tcW w:type="dxa" w:w="2160"/>
          </w:tcPr>
          <w:p>
            <w:r>
              <w:t>本地部署为主</w:t>
            </w:r>
          </w:p>
        </w:tc>
      </w:tr>
      <w:tr>
        <w:tc>
          <w:tcPr>
            <w:tcW w:type="dxa" w:w="2160"/>
          </w:tcPr>
          <w:p>
            <w:r>
              <w:t>互联网大厂产品</w:t>
            </w:r>
          </w:p>
        </w:tc>
        <w:tc>
          <w:tcPr>
            <w:tcW w:type="dxa" w:w="2160"/>
          </w:tcPr>
          <w:p>
            <w:r>
              <w:t>100-200元/生/年</w:t>
            </w:r>
          </w:p>
        </w:tc>
        <w:tc>
          <w:tcPr>
            <w:tcW w:type="dxa" w:w="2160"/>
          </w:tcPr>
          <w:p>
            <w:r>
              <w:t>中高端市场</w:t>
            </w:r>
          </w:p>
        </w:tc>
        <w:tc>
          <w:tcPr>
            <w:tcW w:type="dxa" w:w="2160"/>
          </w:tcPr>
          <w:p>
            <w:r>
              <w:t>品牌强但定制化弱</w:t>
            </w:r>
          </w:p>
        </w:tc>
      </w:tr>
      <w:tr>
        <w:tc>
          <w:tcPr>
            <w:tcW w:type="dxa" w:w="2160"/>
          </w:tcPr>
          <w:p>
            <w:r>
              <w:t>国际心理测评系统</w:t>
            </w:r>
          </w:p>
        </w:tc>
        <w:tc>
          <w:tcPr>
            <w:tcW w:type="dxa" w:w="2160"/>
          </w:tcPr>
          <w:p>
            <w:r>
              <w:t>300-500元/生/年</w:t>
            </w:r>
          </w:p>
        </w:tc>
        <w:tc>
          <w:tcPr>
            <w:tcW w:type="dxa" w:w="2160"/>
          </w:tcPr>
          <w:p>
            <w:r>
              <w:t>高端市场</w:t>
            </w:r>
          </w:p>
        </w:tc>
        <w:tc>
          <w:tcPr>
            <w:tcW w:type="dxa" w:w="2160"/>
          </w:tcPr>
          <w:p>
            <w:r>
              <w:t>国际学校为主</w:t>
            </w:r>
          </w:p>
        </w:tc>
      </w:tr>
    </w:tbl>
    <w:p/>
    <w:p>
      <w:pPr>
        <w:pStyle w:val="Heading2"/>
      </w:pPr>
      <w:r>
        <w:t>3.2 成本加成定价</w:t>
      </w:r>
    </w:p>
    <w:p>
      <w:pPr>
        <w:pStyle w:val="ListBullet"/>
      </w:pPr>
      <w:r>
        <w:rPr>
          <w:b/>
        </w:rPr>
        <w:t>AI模型成本：</w:t>
      </w:r>
      <w:r>
        <w:t>约15-20元/生/年（对话+分析）</w:t>
      </w:r>
    </w:p>
    <w:p>
      <w:pPr>
        <w:pStyle w:val="ListBullet"/>
      </w:pPr>
      <w:r>
        <w:rPr>
          <w:b/>
        </w:rPr>
        <w:t>服务器与带宽：</w:t>
      </w:r>
      <w:r>
        <w:t>约5-8元/生/年</w:t>
      </w:r>
    </w:p>
    <w:p>
      <w:pPr>
        <w:pStyle w:val="ListBullet"/>
      </w:pPr>
      <w:r>
        <w:rPr>
          <w:b/>
        </w:rPr>
        <w:t>实施与支持：</w:t>
      </w:r>
      <w:r>
        <w:t>约10-15元/生/年（首年较高）</w:t>
      </w:r>
    </w:p>
    <w:p>
      <w:pPr>
        <w:pStyle w:val="ListBullet"/>
      </w:pPr>
      <w:r>
        <w:rPr>
          <w:b/>
        </w:rPr>
        <w:t>研发摊销：</w:t>
      </w:r>
      <w:r>
        <w:t>约8-12元/生/年</w:t>
      </w:r>
    </w:p>
    <w:p>
      <w:pPr>
        <w:pStyle w:val="ListBullet"/>
      </w:pPr>
      <w:r>
        <w:rPr>
          <w:b/>
        </w:rPr>
        <w:t>毛利率目标：</w:t>
      </w:r>
      <w:r>
        <w:t>60-70%</w:t>
      </w:r>
    </w:p>
    <w:p>
      <w:pPr>
        <w:pStyle w:val="Heading2"/>
      </w:pPr>
      <w:r>
        <w:t>3.3 价值定价</w:t>
      </w:r>
    </w:p>
    <w:p>
      <w:pPr>
        <w:pStyle w:val="ListBullet"/>
      </w:pPr>
      <w:r>
        <w:t>政策合规价值：满足心理测评系统配置要求，规避合规风险（5-10元/生）</w:t>
      </w:r>
    </w:p>
    <w:p>
      <w:pPr>
        <w:pStyle w:val="ListBullet"/>
      </w:pPr>
      <w:r>
        <w:t>效率提升价值：AI自动分析替代人工，节省心理老师工作量（10-20元/生）</w:t>
      </w:r>
    </w:p>
    <w:p>
      <w:pPr>
        <w:pStyle w:val="ListBullet"/>
      </w:pPr>
      <w:r>
        <w:t>预警避险价值：早期发现心理问题，降低危机事件发生概率（15-30元/生）</w:t>
      </w:r>
    </w:p>
    <w:p>
      <w:pPr>
        <w:pStyle w:val="ListBullet"/>
      </w:pPr>
      <w:r>
        <w:t>数据洞察价值：区域心理健康数据看板，支撑管理决策（10-15元/生）</w:t>
      </w:r>
    </w:p>
    <w:p>
      <w:pPr>
        <w:pStyle w:val="Heading2"/>
      </w:pPr>
      <w:r>
        <w:t>3.4 分层功能定价表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基础版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专业版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旗舰版</w:t>
            </w:r>
          </w:p>
        </w:tc>
      </w:tr>
      <w:tr>
        <w:tc>
          <w:tcPr>
            <w:tcW w:type="dxa" w:w="2160"/>
          </w:tcPr>
          <w:p>
            <w:r>
              <w:t>心理筛查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AI智能对话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危机预警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家校互通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区域数据看板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API开放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专属实施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SLA保障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定价（元/生/年）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</w:tbl>
    <w:p>
      <w:pPr>
        <w:pStyle w:val="Heading1"/>
      </w:pPr>
      <w:r>
        <w:t>四、销售策略</w:t>
      </w:r>
    </w:p>
    <w:p>
      <w:pPr>
        <w:pStyle w:val="Heading2"/>
      </w:pPr>
      <w:r>
        <w:t>4.1 标杆学校打法</w:t>
      </w:r>
    </w:p>
    <w:p>
      <w:r>
        <w:rPr>
          <w:b/>
        </w:rPr>
        <w:t>1. 选择标杆：</w:t>
      </w:r>
      <w:r>
        <w:t>选取2-3所具有影响力的重点中学作为首批试点</w:t>
      </w:r>
    </w:p>
    <w:p>
      <w:r>
        <w:rPr>
          <w:b/>
        </w:rPr>
        <w:t>2. 深度合作：</w:t>
      </w:r>
      <w:r>
        <w:t>与学校心理老师共创优化产品，形成可复制的使用模式</w:t>
      </w:r>
    </w:p>
    <w:p>
      <w:r>
        <w:rPr>
          <w:b/>
        </w:rPr>
        <w:t>3. 效果验证：</w:t>
      </w:r>
      <w:r>
        <w:t>通过实际数据展示筛查效率提升、预警准确率等核心指标</w:t>
      </w:r>
    </w:p>
    <w:p>
      <w:r>
        <w:rPr>
          <w:b/>
        </w:rPr>
        <w:t>4. 案例包装：</w:t>
      </w:r>
      <w:r>
        <w:t>形成标准化的标杆案例材料，包含量化成果和用户证言</w:t>
      </w:r>
    </w:p>
    <w:p>
      <w:r>
        <w:rPr>
          <w:b/>
        </w:rPr>
        <w:t>5. 复制推广：</w:t>
      </w:r>
      <w:r>
        <w:t>以标杆学校为中心，向同区域其他学校辐射</w:t>
      </w:r>
    </w:p>
    <w:p>
      <w:pPr>
        <w:pStyle w:val="Heading2"/>
      </w:pPr>
      <w:r>
        <w:t>4.2 教育局集采路径</w:t>
      </w:r>
    </w:p>
    <w:p>
      <w:r>
        <w:t>适用于区域统一采购场景：</w:t>
      </w:r>
    </w:p>
    <w:p>
      <w:pPr>
        <w:pStyle w:val="ListBullet"/>
      </w:pPr>
      <w:r>
        <w:rPr>
          <w:b/>
        </w:rPr>
        <w:t>切入点选择：</w:t>
      </w:r>
      <w:r>
        <w:t>以"心理健康筛查覆盖率"考核指标为切入点</w:t>
      </w:r>
    </w:p>
    <w:p>
      <w:pPr>
        <w:pStyle w:val="ListBullet"/>
      </w:pPr>
      <w:r>
        <w:rPr>
          <w:b/>
        </w:rPr>
        <w:t>试点先行：</w:t>
      </w:r>
      <w:r>
        <w:t>选取1-2个区县作为试点，积累数据和口碑</w:t>
      </w:r>
    </w:p>
    <w:p>
      <w:pPr>
        <w:pStyle w:val="ListBullet"/>
      </w:pPr>
      <w:r>
        <w:rPr>
          <w:b/>
        </w:rPr>
        <w:t>汇报路径：</w:t>
      </w:r>
      <w:r>
        <w:t>通过教育局内部简报、现场会等形式触达决策层</w:t>
      </w:r>
    </w:p>
    <w:p>
      <w:pPr>
        <w:pStyle w:val="ListBullet"/>
      </w:pPr>
      <w:r>
        <w:rPr>
          <w:b/>
        </w:rPr>
        <w:t>集采谈判：</w:t>
      </w:r>
      <w:r>
        <w:t>争取纳入年度采购计划或教育信息化项目</w:t>
      </w:r>
    </w:p>
    <w:p>
      <w:pPr>
        <w:pStyle w:val="ListBullet"/>
      </w:pPr>
      <w:r>
        <w:rPr>
          <w:b/>
        </w:rPr>
        <w:t>服务延伸：</w:t>
      </w:r>
      <w:r>
        <w:t>从区县级向市级、省级推广</w:t>
      </w:r>
    </w:p>
    <w:p>
      <w:pPr>
        <w:pStyle w:val="Heading2"/>
      </w:pPr>
      <w:r>
        <w:t>4.3 渠道合作（代理商/集成商）</w:t>
      </w:r>
    </w:p>
    <w:p>
      <w:pPr>
        <w:pStyle w:val="ListBullet"/>
      </w:pPr>
      <w:r>
        <w:rPr>
          <w:b/>
        </w:rPr>
        <w:t>代理商模式：</w:t>
      </w:r>
      <w:r>
        <w:t>发展本地教育信息化代理商，给予20-30%渠道利润空间</w:t>
      </w:r>
    </w:p>
    <w:p>
      <w:pPr>
        <w:pStyle w:val="ListBullet"/>
      </w:pPr>
      <w:r>
        <w:rPr>
          <w:b/>
        </w:rPr>
        <w:t>集成商合作：</w:t>
      </w:r>
      <w:r>
        <w:t>与智慧校园、校园一卡通等集成商合作，进入其产品矩阵</w:t>
      </w:r>
    </w:p>
    <w:p>
      <w:pPr>
        <w:pStyle w:val="ListBullet"/>
      </w:pPr>
      <w:r>
        <w:rPr>
          <w:b/>
        </w:rPr>
        <w:t>战略合作：</w:t>
      </w:r>
      <w:r>
        <w:t>与心理测评机构、公立青少年心理援助中心等建立合作</w:t>
      </w:r>
    </w:p>
    <w:p>
      <w:pPr>
        <w:pStyle w:val="Heading2"/>
      </w:pPr>
      <w:r>
        <w:t>4.4 试用转化策略</w:t>
      </w:r>
    </w:p>
    <w:p>
      <w:pPr>
        <w:pStyle w:val="ListBullet"/>
      </w:pPr>
      <w:r>
        <w:rPr>
          <w:b/>
        </w:rPr>
        <w:t>免费试用期：</w:t>
      </w:r>
      <w:r>
        <w:t>提供14-30天全功能免费试用</w:t>
      </w:r>
    </w:p>
    <w:p>
      <w:pPr>
        <w:pStyle w:val="ListBullet"/>
      </w:pPr>
      <w:r>
        <w:rPr>
          <w:b/>
        </w:rPr>
        <w:t>试用目标：</w:t>
      </w:r>
      <w:r>
        <w:t>完成至少1次完整心理测评流程，体验核心价值</w:t>
      </w:r>
    </w:p>
    <w:p>
      <w:pPr>
        <w:pStyle w:val="ListBullet"/>
      </w:pPr>
      <w:r>
        <w:rPr>
          <w:b/>
        </w:rPr>
        <w:t>转化节点：</w:t>
      </w:r>
      <w:r>
        <w:t>试用期结束前3天跟进，收集反馈并促成签单</w:t>
      </w:r>
    </w:p>
    <w:p>
      <w:pPr>
        <w:pStyle w:val="ListBullet"/>
      </w:pPr>
      <w:r>
        <w:rPr>
          <w:b/>
        </w:rPr>
        <w:t>优惠策略：</w:t>
      </w:r>
      <w:r>
        <w:t>试用期结束后1周内签约，享受年费9折优惠</w:t>
      </w:r>
    </w:p>
    <w:p>
      <w:pPr>
        <w:pStyle w:val="Heading1"/>
      </w:pPr>
      <w:r>
        <w:t>五、合同条款建议</w:t>
      </w:r>
    </w:p>
    <w:p>
      <w:pPr>
        <w:pStyle w:val="Heading2"/>
      </w:pPr>
      <w:r>
        <w:t>5.1 数据归属条款</w:t>
      </w:r>
    </w:p>
    <w:p>
      <w:pPr>
        <w:pStyle w:val="ListBullet"/>
      </w:pPr>
      <w:r>
        <w:rPr>
          <w:b/>
        </w:rPr>
        <w:t>数据所有权：</w:t>
      </w:r>
      <w:r>
        <w:t>明确约定学校/教育局对学生心理数据拥有所有权</w:t>
      </w:r>
    </w:p>
    <w:p>
      <w:pPr>
        <w:pStyle w:val="ListBullet"/>
      </w:pPr>
      <w:r>
        <w:rPr>
          <w:b/>
        </w:rPr>
        <w:t>数据存储：</w:t>
      </w:r>
      <w:r>
        <w:t>约定数据存储地点、期限及销毁方式</w:t>
      </w:r>
    </w:p>
    <w:p>
      <w:pPr>
        <w:pStyle w:val="ListBullet"/>
      </w:pPr>
      <w:r>
        <w:rPr>
          <w:b/>
        </w:rPr>
        <w:t>数据使用：</w:t>
      </w:r>
      <w:r>
        <w:t>明确我方使用数据的范围（如匿名化统计、产品优化）</w:t>
      </w:r>
    </w:p>
    <w:p>
      <w:pPr>
        <w:pStyle w:val="ListBullet"/>
      </w:pPr>
      <w:r>
        <w:rPr>
          <w:b/>
        </w:rPr>
        <w:t>数据迁移：</w:t>
      </w:r>
      <w:r>
        <w:t>合同终止时支持数据导出，格式需双方确认</w:t>
      </w:r>
    </w:p>
    <w:p>
      <w:pPr>
        <w:pStyle w:val="Heading2"/>
      </w:pPr>
      <w:r>
        <w:t>5.2 服务等级协议（SLA）</w:t>
      </w:r>
    </w:p>
    <w:p>
      <w:pPr>
        <w:pStyle w:val="ListBullet"/>
      </w:pPr>
      <w:r>
        <w:rPr>
          <w:b/>
        </w:rPr>
        <w:t>可用性承诺：</w:t>
      </w:r>
      <w:r>
        <w:t>基础版99.5%、专业版99.7%、旗舰版99.9%</w:t>
      </w:r>
    </w:p>
    <w:p>
      <w:pPr>
        <w:pStyle w:val="ListBullet"/>
      </w:pPr>
      <w:r>
        <w:rPr>
          <w:b/>
        </w:rPr>
        <w:t>响应时间：</w:t>
      </w:r>
      <w:r>
        <w:t>普通问题4小时、紧急问题1小时、危机问题15分钟</w:t>
      </w:r>
    </w:p>
    <w:p>
      <w:pPr>
        <w:pStyle w:val="ListBullet"/>
      </w:pPr>
      <w:r>
        <w:rPr>
          <w:b/>
        </w:rPr>
        <w:t>赔偿机制：</w:t>
      </w:r>
      <w:r>
        <w:t>可用性每下降0.1%补偿1天服务时长</w:t>
      </w:r>
    </w:p>
    <w:p>
      <w:pPr>
        <w:pStyle w:val="ListBullet"/>
      </w:pPr>
      <w:r>
        <w:rPr>
          <w:b/>
        </w:rPr>
        <w:t>不可抗力：</w:t>
      </w:r>
      <w:r>
        <w:t>明确自然灾害、重大公共事件等免责情形</w:t>
      </w:r>
    </w:p>
    <w:p>
      <w:pPr>
        <w:pStyle w:val="Heading2"/>
      </w:pPr>
      <w:r>
        <w:t>5.3 保密条款</w:t>
      </w:r>
    </w:p>
    <w:p>
      <w:pPr>
        <w:pStyle w:val="ListBullet"/>
      </w:pPr>
      <w:r>
        <w:rPr>
          <w:b/>
        </w:rPr>
        <w:t>保密义务：</w:t>
      </w:r>
      <w:r>
        <w:t>双方对合作过程中获取的对方商业秘密负有保密义务</w:t>
      </w:r>
    </w:p>
    <w:p>
      <w:pPr>
        <w:pStyle w:val="ListBullet"/>
      </w:pPr>
      <w:r>
        <w:rPr>
          <w:b/>
        </w:rPr>
        <w:t>保密期限：</w:t>
      </w:r>
      <w:r>
        <w:t>合同终止后仍需保密不少于3年</w:t>
      </w:r>
    </w:p>
    <w:p>
      <w:pPr>
        <w:pStyle w:val="ListBullet"/>
      </w:pPr>
      <w:r>
        <w:rPr>
          <w:b/>
        </w:rPr>
        <w:t>数据脱敏：</w:t>
      </w:r>
      <w:r>
        <w:t>对外展示案例需经过脱敏处理并获得授权</w:t>
      </w:r>
    </w:p>
    <w:p>
      <w:pPr>
        <w:pStyle w:val="Heading2"/>
      </w:pPr>
      <w:r>
        <w:t>5.4 退出条款</w:t>
      </w:r>
    </w:p>
    <w:p>
      <w:pPr>
        <w:pStyle w:val="ListBullet"/>
      </w:pPr>
      <w:r>
        <w:rPr>
          <w:b/>
        </w:rPr>
        <w:t>提前通知期：</w:t>
      </w:r>
      <w:r>
        <w:t>任一方提前60天书面通知可解除合同</w:t>
      </w:r>
    </w:p>
    <w:p>
      <w:pPr>
        <w:pStyle w:val="ListBullet"/>
      </w:pPr>
      <w:r>
        <w:rPr>
          <w:b/>
        </w:rPr>
        <w:t>数据交接：</w:t>
      </w:r>
      <w:r>
        <w:t>合同终止后30天内完成全部数据交接</w:t>
      </w:r>
    </w:p>
    <w:p>
      <w:pPr>
        <w:pStyle w:val="ListBullet"/>
      </w:pPr>
      <w:r>
        <w:rPr>
          <w:b/>
        </w:rPr>
        <w:t>费用结算：</w:t>
      </w:r>
      <w:r>
        <w:t>按实际使用时长结算，不收取违约金</w:t>
      </w:r>
    </w:p>
    <w:p>
      <w:pPr>
        <w:pStyle w:val="ListBullet"/>
      </w:pPr>
      <w:r>
        <w:rPr>
          <w:b/>
        </w:rPr>
        <w:t>竞业限制：</w:t>
      </w:r>
      <w:r>
        <w:t>可选条款，限制我方在特定区域开展同类业务</w:t>
      </w:r>
    </w:p>
    <w:p>
      <w:pPr>
        <w:pStyle w:val="Heading1"/>
      </w:pPr>
      <w:r>
        <w:t>六、客户成功策略</w:t>
      </w:r>
    </w:p>
    <w:p>
      <w:pPr>
        <w:pStyle w:val="Heading2"/>
      </w:pPr>
      <w:r>
        <w:t>6.1 实施交付标准</w:t>
      </w:r>
    </w:p>
    <w:p>
      <w:pPr>
        <w:pStyle w:val="ListBullet"/>
      </w:pPr>
      <w:r>
        <w:rPr>
          <w:b/>
        </w:rPr>
        <w:t>项目启动：</w:t>
      </w:r>
      <w:r>
        <w:t>明确负责人、对接人、项目目标</w:t>
      </w:r>
    </w:p>
    <w:p>
      <w:pPr>
        <w:pStyle w:val="ListBullet"/>
      </w:pPr>
      <w:r>
        <w:rPr>
          <w:b/>
        </w:rPr>
        <w:t>数据准备：</w:t>
      </w:r>
      <w:r>
        <w:t>协助学校完成学生信息导入、账号开通</w:t>
      </w:r>
    </w:p>
    <w:p>
      <w:pPr>
        <w:pStyle w:val="ListBullet"/>
      </w:pPr>
      <w:r>
        <w:rPr>
          <w:b/>
        </w:rPr>
        <w:t>系统配置：</w:t>
      </w:r>
      <w:r>
        <w:t>完成校情定制、筛查量表配置</w:t>
      </w:r>
    </w:p>
    <w:p>
      <w:pPr>
        <w:pStyle w:val="ListBullet"/>
      </w:pPr>
      <w:r>
        <w:rPr>
          <w:b/>
        </w:rPr>
        <w:t>培训实施：</w:t>
      </w:r>
      <w:r>
        <w:t>完成教师端、学生端操作培训</w:t>
      </w:r>
    </w:p>
    <w:p>
      <w:pPr>
        <w:pStyle w:val="ListBullet"/>
      </w:pPr>
      <w:r>
        <w:rPr>
          <w:b/>
        </w:rPr>
        <w:t>试运行：</w:t>
      </w:r>
      <w:r>
        <w:t>2周试运行，收集反馈并优化</w:t>
      </w:r>
    </w:p>
    <w:p>
      <w:pPr>
        <w:pStyle w:val="ListBullet"/>
      </w:pPr>
      <w:r>
        <w:rPr>
          <w:b/>
        </w:rPr>
        <w:t>正式上线：</w:t>
      </w:r>
      <w:r>
        <w:t>正式投入使用，移交文档资料</w:t>
      </w:r>
    </w:p>
    <w:p>
      <w:pPr>
        <w:pStyle w:val="Heading2"/>
      </w:pPr>
      <w:r>
        <w:t>6.2 教师培训方案</w:t>
      </w:r>
    </w:p>
    <w:p>
      <w:pPr>
        <w:pStyle w:val="ListBullet"/>
      </w:pPr>
      <w:r>
        <w:rPr>
          <w:b/>
        </w:rPr>
        <w:t>新手培训：</w:t>
      </w:r>
      <w:r>
        <w:t>线上视频课程（约2小时）+操作手册</w:t>
      </w:r>
    </w:p>
    <w:p>
      <w:pPr>
        <w:pStyle w:val="ListBullet"/>
      </w:pPr>
      <w:r>
        <w:rPr>
          <w:b/>
        </w:rPr>
        <w:t>进阶培训：</w:t>
      </w:r>
      <w:r>
        <w:t>月度线上答疑会，解答实际使用问题</w:t>
      </w:r>
    </w:p>
    <w:p>
      <w:pPr>
        <w:pStyle w:val="ListBullet"/>
      </w:pPr>
      <w:r>
        <w:rPr>
          <w:b/>
        </w:rPr>
        <w:t>专项培训：</w:t>
      </w:r>
      <w:r>
        <w:t>针对心理老师的危机识别与干预培训</w:t>
      </w:r>
    </w:p>
    <w:p>
      <w:pPr>
        <w:pStyle w:val="ListBullet"/>
      </w:pPr>
      <w:r>
        <w:rPr>
          <w:b/>
        </w:rPr>
        <w:t>培训考核：</w:t>
      </w:r>
      <w:r>
        <w:t>培训后进行简单考核，确保操作熟练度</w:t>
      </w:r>
    </w:p>
    <w:p>
      <w:pPr>
        <w:pStyle w:val="Heading2"/>
      </w:pPr>
      <w:r>
        <w:t>6.3 持续运营支持</w:t>
      </w:r>
    </w:p>
    <w:p>
      <w:pPr>
        <w:pStyle w:val="ListBullet"/>
      </w:pPr>
      <w:r>
        <w:rPr>
          <w:b/>
        </w:rPr>
        <w:t>专属客服：</w:t>
      </w:r>
      <w:r>
        <w:t>企业微信群+电话支持，4小时响应</w:t>
      </w:r>
    </w:p>
    <w:p>
      <w:pPr>
        <w:pStyle w:val="ListBullet"/>
      </w:pPr>
      <w:r>
        <w:rPr>
          <w:b/>
        </w:rPr>
        <w:t>定期回访：</w:t>
      </w:r>
      <w:r>
        <w:t>每月1次使用情况回访，收集改进建议</w:t>
      </w:r>
    </w:p>
    <w:p>
      <w:pPr>
        <w:pStyle w:val="ListBullet"/>
      </w:pPr>
      <w:r>
        <w:rPr>
          <w:b/>
        </w:rPr>
        <w:t>版本迭代：</w:t>
      </w:r>
      <w:r>
        <w:t>每季度发布新功能，持续优化体验</w:t>
      </w:r>
    </w:p>
    <w:p>
      <w:pPr>
        <w:pStyle w:val="ListBullet"/>
      </w:pPr>
      <w:r>
        <w:rPr>
          <w:b/>
        </w:rPr>
        <w:t>活动支持：</w:t>
      </w:r>
      <w:r>
        <w:t>配合学校心理健康教育月等活动提供素材</w:t>
      </w:r>
    </w:p>
    <w:p>
      <w:pPr>
        <w:pStyle w:val="Heading2"/>
      </w:pPr>
      <w:r>
        <w:t>6.4 续费激励机制</w:t>
      </w:r>
    </w:p>
    <w:p>
      <w:pPr>
        <w:pStyle w:val="ListBullet"/>
      </w:pPr>
      <w:r>
        <w:rPr>
          <w:b/>
        </w:rPr>
        <w:t>早鸟优惠：</w:t>
      </w:r>
      <w:r>
        <w:t>合同到期前60天续费享9折</w:t>
      </w:r>
    </w:p>
    <w:p>
      <w:pPr>
        <w:pStyle w:val="ListBullet"/>
      </w:pPr>
      <w:r>
        <w:rPr>
          <w:b/>
        </w:rPr>
        <w:t>忠诚折扣：</w:t>
      </w:r>
      <w:r>
        <w:t>连续3年续费享8.5折</w:t>
      </w:r>
    </w:p>
    <w:p>
      <w:pPr>
        <w:pStyle w:val="ListBullet"/>
      </w:pPr>
      <w:r>
        <w:rPr>
          <w:b/>
        </w:rPr>
        <w:t>增值赠送：</w:t>
      </w:r>
      <w:r>
        <w:t>续费赠送额外学生账号或功能模块</w:t>
      </w:r>
    </w:p>
    <w:p>
      <w:pPr>
        <w:pStyle w:val="ListBullet"/>
      </w:pPr>
      <w:r>
        <w:rPr>
          <w:b/>
        </w:rPr>
        <w:t>案例激励：</w:t>
      </w:r>
      <w:r>
        <w:t>愿意共享案例的客户可获得额外服务时长</w:t>
      </w:r>
    </w:p>
    <w:p>
      <w:pPr>
        <w:pStyle w:val="Heading1"/>
      </w:pPr>
      <w:r>
        <w:t>七、竞争壁垒</w:t>
      </w:r>
    </w:p>
    <w:p>
      <w:pPr>
        <w:pStyle w:val="Heading2"/>
      </w:pPr>
      <w:r>
        <w:t>7.1 心理学专业壁垒</w:t>
      </w:r>
    </w:p>
    <w:p>
      <w:r>
        <w:t>心理健康领域对专业性要求极高，我方需要建立以下专业壁垒：</w:t>
      </w:r>
    </w:p>
    <w:p>
      <w:pPr>
        <w:pStyle w:val="ListBullet"/>
      </w:pPr>
      <w:r>
        <w:rPr>
          <w:b/>
        </w:rPr>
        <w:t>量表研发：</w:t>
      </w:r>
      <w:r>
        <w:t>拥有自主知识产权的本土化心理评估量表</w:t>
      </w:r>
    </w:p>
    <w:p>
      <w:pPr>
        <w:pStyle w:val="ListBullet"/>
      </w:pPr>
      <w:r>
        <w:rPr>
          <w:b/>
        </w:rPr>
        <w:t>AI模型训练：</w:t>
      </w:r>
      <w:r>
        <w:t>基于大量真实案例训练的AI对话和预警模型</w:t>
      </w:r>
    </w:p>
    <w:p>
      <w:pPr>
        <w:pStyle w:val="ListBullet"/>
      </w:pPr>
      <w:r>
        <w:rPr>
          <w:b/>
        </w:rPr>
        <w:t>专家团队：</w:t>
      </w:r>
      <w:r>
        <w:t>聘请资深心理咨询师担任顾问，参与产品设计审核</w:t>
      </w:r>
    </w:p>
    <w:p>
      <w:pPr>
        <w:pStyle w:val="ListBullet"/>
      </w:pPr>
      <w:r>
        <w:rPr>
          <w:b/>
        </w:rPr>
        <w:t>学术合作：</w:t>
      </w:r>
      <w:r>
        <w:t>与高校心理学院建立产学研合作</w:t>
      </w:r>
    </w:p>
    <w:p>
      <w:pPr>
        <w:pStyle w:val="Heading2"/>
      </w:pPr>
      <w:r>
        <w:t>7.2 学校关系壁垒</w:t>
      </w:r>
    </w:p>
    <w:p>
      <w:pPr>
        <w:pStyle w:val="ListBullet"/>
      </w:pPr>
      <w:r>
        <w:rPr>
          <w:b/>
        </w:rPr>
        <w:t>用户习惯：</w:t>
      </w:r>
      <w:r>
        <w:t>师生已习惯现有操作流程，更换成本高</w:t>
      </w:r>
    </w:p>
    <w:p>
      <w:pPr>
        <w:pStyle w:val="ListBullet"/>
      </w:pPr>
      <w:r>
        <w:rPr>
          <w:b/>
        </w:rPr>
        <w:t>数据积累：</w:t>
      </w:r>
      <w:r>
        <w:t>长期使用形成的历史数据资产</w:t>
      </w:r>
    </w:p>
    <w:p>
      <w:pPr>
        <w:pStyle w:val="ListBullet"/>
      </w:pPr>
      <w:r>
        <w:rPr>
          <w:b/>
        </w:rPr>
        <w:t>信任关系：</w:t>
      </w:r>
      <w:r>
        <w:t>通过多次成功服务建立的信任关系</w:t>
      </w:r>
    </w:p>
    <w:p>
      <w:pPr>
        <w:pStyle w:val="ListBullet"/>
      </w:pPr>
      <w:r>
        <w:rPr>
          <w:b/>
        </w:rPr>
        <w:t>区域网络：</w:t>
      </w:r>
      <w:r>
        <w:t>在特定区域形成的良好口碑和网络效应</w:t>
      </w:r>
    </w:p>
    <w:p>
      <w:pPr>
        <w:pStyle w:val="Heading2"/>
      </w:pPr>
      <w:r>
        <w:t>7.3 数据壁垒</w:t>
      </w:r>
    </w:p>
    <w:p>
      <w:pPr>
        <w:pStyle w:val="ListBullet"/>
      </w:pPr>
      <w:r>
        <w:rPr>
          <w:b/>
        </w:rPr>
        <w:t>数据规模：</w:t>
      </w:r>
      <w:r>
        <w:t>覆盖学生越多，AI模型越精准，形成正向循环</w:t>
      </w:r>
    </w:p>
    <w:p>
      <w:pPr>
        <w:pStyle w:val="ListBullet"/>
      </w:pPr>
      <w:r>
        <w:rPr>
          <w:b/>
        </w:rPr>
        <w:t>数据质量：</w:t>
      </w:r>
      <w:r>
        <w:t>经过标注和验证的高质量训练数据</w:t>
      </w:r>
    </w:p>
    <w:p>
      <w:pPr>
        <w:pStyle w:val="ListBullet"/>
      </w:pPr>
      <w:r>
        <w:rPr>
          <w:b/>
        </w:rPr>
        <w:t>数据隐私：</w:t>
      </w:r>
      <w:r>
        <w:t>在合规框架下探索数据价值最大化</w:t>
      </w:r>
    </w:p>
    <w:p>
      <w:pPr>
        <w:pStyle w:val="Heading2"/>
      </w:pPr>
      <w:r>
        <w:t>7.4 政策合规壁垒</w:t>
      </w:r>
    </w:p>
    <w:p>
      <w:pPr>
        <w:pStyle w:val="ListBullet"/>
      </w:pPr>
      <w:r>
        <w:rPr>
          <w:b/>
        </w:rPr>
        <w:t>资质认证：</w:t>
      </w:r>
      <w:r>
        <w:t>通过教育部教育APP备案、等级保护认证</w:t>
      </w:r>
    </w:p>
    <w:p>
      <w:pPr>
        <w:pStyle w:val="ListBullet"/>
      </w:pPr>
      <w:r>
        <w:rPr>
          <w:b/>
        </w:rPr>
        <w:t>隐私合规：</w:t>
      </w:r>
      <w:r>
        <w:t>符合《个人信息保护法》《未成年人保护法》要求</w:t>
      </w:r>
    </w:p>
    <w:p>
      <w:pPr>
        <w:pStyle w:val="ListBullet"/>
      </w:pPr>
      <w:r>
        <w:rPr>
          <w:b/>
        </w:rPr>
        <w:t>行业标准：</w:t>
      </w:r>
      <w:r>
        <w:t>参与行业标准制定，抢占先发优势</w:t>
      </w:r>
    </w:p>
    <w:p>
      <w:pPr>
        <w:pStyle w:val="Heading1"/>
      </w:pPr>
      <w:r>
        <w:t>八、风险与应对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风险类型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具体风险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发生概率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应对策略</w:t>
            </w:r>
          </w:p>
        </w:tc>
      </w:tr>
      <w:tr>
        <w:tc>
          <w:tcPr>
            <w:tcW w:type="dxa" w:w="1728"/>
          </w:tcPr>
          <w:p>
            <w:r>
              <w:t>政策风险</w:t>
            </w:r>
          </w:p>
        </w:tc>
        <w:tc>
          <w:tcPr>
            <w:tcW w:type="dxa" w:w="1728"/>
          </w:tcPr>
          <w:p>
            <w:r>
              <w:t>政策收紧或标准变化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密切跟踪政策动向，保持产品灵活性，参与标准制定</w:t>
            </w:r>
          </w:p>
        </w:tc>
      </w:tr>
      <w:tr>
        <w:tc>
          <w:tcPr>
            <w:tcW w:type="dxa" w:w="1728"/>
          </w:tcPr>
          <w:p>
            <w:r>
              <w:t>竞争风险</w:t>
            </w:r>
          </w:p>
        </w:tc>
        <w:tc>
          <w:tcPr>
            <w:tcW w:type="dxa" w:w="1728"/>
          </w:tcPr>
          <w:p>
            <w:r>
              <w:t>大厂低价竞争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深耕专业能力，强化服务差异化，聚焦细分市场</w:t>
            </w:r>
          </w:p>
        </w:tc>
      </w:tr>
      <w:tr>
        <w:tc>
          <w:tcPr>
            <w:tcW w:type="dxa" w:w="1728"/>
          </w:tcPr>
          <w:p>
            <w:r>
              <w:t>交付风险</w:t>
            </w:r>
          </w:p>
        </w:tc>
        <w:tc>
          <w:tcPr>
            <w:tcW w:type="dxa" w:w="1728"/>
          </w:tcPr>
          <w:p>
            <w:r>
              <w:t>实施能力跟不上订单增长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建立标准化交付体系，培养合作实施伙伴</w:t>
            </w:r>
          </w:p>
        </w:tc>
      </w:tr>
      <w:tr>
        <w:tc>
          <w:tcPr>
            <w:tcW w:type="dxa" w:w="1728"/>
          </w:tcPr>
          <w:p>
            <w:r>
              <w:t>现金流风险</w:t>
            </w:r>
          </w:p>
        </w:tc>
        <w:tc>
          <w:tcPr>
            <w:tcW w:type="dxa" w:w="1728"/>
          </w:tcPr>
          <w:p>
            <w:r>
              <w:t>回款周期长或坏账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优化合同条款，加强应收账款管理，储备现金</w:t>
            </w:r>
          </w:p>
        </w:tc>
      </w:tr>
      <w:tr>
        <w:tc>
          <w:tcPr>
            <w:tcW w:type="dxa" w:w="1728"/>
          </w:tcPr>
          <w:p>
            <w:r>
              <w:t>数据安全风险</w:t>
            </w:r>
          </w:p>
        </w:tc>
        <w:tc>
          <w:tcPr>
            <w:tcW w:type="dxa" w:w="1728"/>
          </w:tcPr>
          <w:p>
            <w:r>
              <w:t>数据泄露或被攻击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加强安全投入，定期渗透测试，购买网络安全险</w:t>
            </w:r>
          </w:p>
        </w:tc>
      </w:tr>
      <w:tr>
        <w:tc>
          <w:tcPr>
            <w:tcW w:type="dxa" w:w="1728"/>
          </w:tcPr>
          <w:p>
            <w:r>
              <w:t>人才流失风险</w:t>
            </w:r>
          </w:p>
        </w:tc>
        <w:tc>
          <w:tcPr>
            <w:tcW w:type="dxa" w:w="1728"/>
          </w:tcPr>
          <w:p>
            <w:r>
              <w:t>核心人员离职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建立知识库，培养梯队，完善激励机制</w:t>
            </w:r>
          </w:p>
        </w:tc>
      </w:tr>
    </w:tbl>
    <w:p>
      <w:pPr>
        <w:pStyle w:val="Heading1"/>
      </w:pPr>
      <w:r>
        <w:t>九、三年财务预测（简表）</w:t>
      </w:r>
    </w:p>
    <w:p>
      <w:pPr>
        <w:pStyle w:val="Heading2"/>
      </w:pPr>
      <w:r>
        <w:t>9.1 核心假设</w:t>
      </w:r>
    </w:p>
    <w:p>
      <w:pPr>
        <w:pStyle w:val="ListBullet"/>
      </w:pPr>
      <w:r>
        <w:rPr>
          <w:b/>
        </w:rPr>
        <w:t>客户增长：</w:t>
      </w:r>
      <w:r>
        <w:t>第1年50所学校，第2年150所，第3年350所</w:t>
      </w:r>
    </w:p>
    <w:p>
      <w:pPr>
        <w:pStyle w:val="ListBullet"/>
      </w:pPr>
      <w:r>
        <w:rPr>
          <w:b/>
        </w:rPr>
        <w:t>平均客单价：</w:t>
      </w:r>
      <w:r>
        <w:t>第1年120元/生（早期优惠），第2年135元/生，第3年145元/生</w:t>
      </w:r>
    </w:p>
    <w:p>
      <w:pPr>
        <w:pStyle w:val="ListBullet"/>
      </w:pPr>
      <w:r>
        <w:rPr>
          <w:b/>
        </w:rPr>
        <w:t>平均学校规模：</w:t>
      </w:r>
      <w:r>
        <w:t>1000名学生/校</w:t>
      </w:r>
    </w:p>
    <w:p>
      <w:pPr>
        <w:pStyle w:val="ListBullet"/>
      </w:pPr>
      <w:r>
        <w:rPr>
          <w:b/>
        </w:rPr>
        <w:t>续费率：</w:t>
      </w:r>
      <w:r>
        <w:t>第2年80%，第3年85%</w:t>
      </w:r>
    </w:p>
    <w:p>
      <w:pPr>
        <w:pStyle w:val="ListBullet"/>
      </w:pPr>
      <w:r>
        <w:rPr>
          <w:b/>
        </w:rPr>
        <w:t>毛利率：</w:t>
      </w:r>
      <w:r>
        <w:t>65%（稳定期）</w:t>
      </w:r>
    </w:p>
    <w:p>
      <w:pPr>
        <w:pStyle w:val="Heading2"/>
      </w:pPr>
      <w:r>
        <w:t>9.2 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第1年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第2年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第3年</w:t>
            </w:r>
          </w:p>
        </w:tc>
      </w:tr>
      <w:tr>
        <w:tc>
          <w:tcPr>
            <w:tcW w:type="dxa" w:w="2160"/>
          </w:tcPr>
          <w:p>
            <w:r>
              <w:t>累计学校数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当年新增学校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当年续费学校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活跃学生数（万）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平均客单价（元/生）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年度总收入（万元）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2,700</w:t>
            </w:r>
          </w:p>
        </w:tc>
        <w:tc>
          <w:tcPr>
            <w:tcW w:type="dxa" w:w="2160"/>
          </w:tcPr>
          <w:p>
            <w:r>
              <w:t>7,975</w:t>
            </w:r>
          </w:p>
        </w:tc>
      </w:tr>
      <w:tr>
        <w:tc>
          <w:tcPr>
            <w:tcW w:type="dxa" w:w="2160"/>
          </w:tcPr>
          <w:p>
            <w:r>
              <w:t>同比增长率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350%</w:t>
            </w:r>
          </w:p>
        </w:tc>
        <w:tc>
          <w:tcPr>
            <w:tcW w:type="dxa" w:w="2160"/>
          </w:tcPr>
          <w:p>
            <w:r>
              <w:t>195%</w:t>
            </w:r>
          </w:p>
        </w:tc>
      </w:tr>
      <w:tr>
        <w:tc>
          <w:tcPr>
            <w:tcW w:type="dxa" w:w="2160"/>
          </w:tcPr>
          <w:p>
            <w:r>
              <w:t>主营业务成本（万元）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2,791</w:t>
            </w:r>
          </w:p>
        </w:tc>
      </w:tr>
      <w:tr>
        <w:tc>
          <w:tcPr>
            <w:tcW w:type="dxa" w:w="2160"/>
          </w:tcPr>
          <w:p>
            <w:r>
              <w:t>毛利（万元）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1,755</w:t>
            </w:r>
          </w:p>
        </w:tc>
        <w:tc>
          <w:tcPr>
            <w:tcW w:type="dxa" w:w="2160"/>
          </w:tcPr>
          <w:p>
            <w:r>
              <w:t>5,184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运营费用（万元）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1,600</w:t>
            </w:r>
          </w:p>
        </w:tc>
        <w:tc>
          <w:tcPr>
            <w:tcW w:type="dxa" w:w="2160"/>
          </w:tcPr>
          <w:p>
            <w:r>
              <w:t>2,800</w:t>
            </w:r>
          </w:p>
        </w:tc>
      </w:tr>
      <w:tr>
        <w:tc>
          <w:tcPr>
            <w:tcW w:type="dxa" w:w="2160"/>
          </w:tcPr>
          <w:p>
            <w:r>
              <w:t>净利润（万元）</w:t>
            </w:r>
          </w:p>
        </w:tc>
        <w:tc>
          <w:tcPr>
            <w:tcW w:type="dxa" w:w="2160"/>
          </w:tcPr>
          <w:p>
            <w:r>
              <w:t>-410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2,384</w:t>
            </w:r>
          </w:p>
        </w:tc>
      </w:tr>
      <w:tr>
        <w:tc>
          <w:tcPr>
            <w:tcW w:type="dxa" w:w="2160"/>
          </w:tcPr>
          <w:p>
            <w:r>
              <w:t>累计净利润（万元）</w:t>
            </w:r>
          </w:p>
        </w:tc>
        <w:tc>
          <w:tcPr>
            <w:tcW w:type="dxa" w:w="2160"/>
          </w:tcPr>
          <w:p>
            <w:r>
              <w:t>-410</w:t>
            </w:r>
          </w:p>
        </w:tc>
        <w:tc>
          <w:tcPr>
            <w:tcW w:type="dxa" w:w="2160"/>
          </w:tcPr>
          <w:p>
            <w:r>
              <w:t>-255</w:t>
            </w:r>
          </w:p>
        </w:tc>
        <w:tc>
          <w:tcPr>
            <w:tcW w:type="dxa" w:w="2160"/>
          </w:tcPr>
          <w:p>
            <w:r>
              <w:t>2,129</w:t>
            </w:r>
          </w:p>
        </w:tc>
      </w:tr>
    </w:tbl>
    <w:p/>
    <w:p>
      <w:r>
        <w:rPr>
          <w:b/>
        </w:rPr>
        <w:t>说明：</w:t>
      </w:r>
      <w:r>
        <w:t>第1年处于市场拓展期，收入较低且需投入大量市场和销售费用，预计亏损410万元。第2年随着口碑建立和渠道拓展，实现盈亏平衡并小幅盈利。第3年在续费收入稳定增长和新客户持续拓展下，实现规模化盈利。</w:t>
      </w:r>
    </w:p>
    <w:p>
      <w:pPr>
        <w:pStyle w:val="Heading2"/>
      </w:pPr>
      <w:r>
        <w:t>9.3 关键指标监控</w:t>
      </w:r>
    </w:p>
    <w:p>
      <w:pPr>
        <w:pStyle w:val="ListBullet"/>
      </w:pPr>
      <w:r>
        <w:rPr>
          <w:b/>
        </w:rPr>
        <w:t>获客成本（CAC）：</w:t>
      </w:r>
      <w:r>
        <w:t>&lt;5,000元/校</w:t>
      </w:r>
    </w:p>
    <w:p>
      <w:pPr>
        <w:pStyle w:val="ListBullet"/>
      </w:pPr>
      <w:r>
        <w:rPr>
          <w:b/>
        </w:rPr>
        <w:t>客户生命周期价值（LTV）：</w:t>
      </w:r>
      <w:r>
        <w:t>&gt;30,000元/校</w:t>
      </w:r>
    </w:p>
    <w:p>
      <w:pPr>
        <w:pStyle w:val="ListBullet"/>
      </w:pPr>
      <w:r>
        <w:rPr>
          <w:b/>
        </w:rPr>
        <w:t>LTV/CAC比值：</w:t>
      </w:r>
      <w:r>
        <w:t>&gt;3</w:t>
      </w:r>
    </w:p>
    <w:p>
      <w:pPr>
        <w:pStyle w:val="ListBullet"/>
      </w:pPr>
      <w:r>
        <w:rPr>
          <w:b/>
        </w:rPr>
        <w:t>续费率：</w:t>
      </w:r>
      <w:r>
        <w:t>&gt;80%</w:t>
      </w:r>
    </w:p>
    <w:p>
      <w:pPr>
        <w:pStyle w:val="ListBullet"/>
      </w:pPr>
      <w:r>
        <w:rPr>
          <w:b/>
        </w:rPr>
        <w:t>净推荐值（NPS）：</w:t>
      </w:r>
      <w:r>
        <w:t>&gt;50</w:t>
      </w:r>
    </w:p>
    <w:p>
      <w:pPr>
        <w:pStyle w:val="ListBullet"/>
      </w:pPr>
      <w:r>
        <w:rPr>
          <w:b/>
        </w:rPr>
        <w:t>客户回收期：</w:t>
      </w:r>
      <w:r>
        <w:t>&lt;18个月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