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SaaS多学校隔离架构详细设计</w:t>
      </w:r>
    </w:p>
    <w:p>
      <w:pPr>
        <w:jc w:val="center"/>
      </w:pPr>
      <w:r>
        <w:rPr>
          <w:b/>
        </w:rPr>
        <w:t>版本：v1.0</w:t>
        <w:br/>
      </w:r>
      <w:r>
        <w:t>日期：2026年5月</w:t>
        <w:br/>
      </w:r>
      <w:r>
        <w:t>状态：初稿</w:t>
      </w:r>
    </w:p>
    <w:p/>
    <w:p>
      <w:pPr>
        <w:pStyle w:val="Heading1"/>
      </w:pPr>
      <w:r>
        <w:t>一、多租户架构设计</w:t>
      </w:r>
    </w:p>
    <w:p>
      <w:pPr>
        <w:pStyle w:val="Heading2"/>
      </w:pPr>
      <w:r>
        <w:t>1.1 租户模型选择</w:t>
      </w:r>
    </w:p>
    <w:p>
      <w:r>
        <w:rPr>
          <w:b w:val="0"/>
        </w:rPr>
        <w:t>本系统采用</w:t>
      </w:r>
      <w:r>
        <w:rPr>
          <w:b/>
        </w:rPr>
        <w:t>学校（School）作为租户粒度</w:t>
      </w:r>
      <w:r>
        <w:t>进行设计。每个学校作为独立的租户单元，拥有完整的数据隔离空间和配置能力。选择学校作为租户的理由如下：</w:t>
      </w:r>
    </w:p>
    <w:p>
      <w:pPr>
        <w:pStyle w:val="ListBullet"/>
      </w:pPr>
      <w:r>
        <w:t>业务边界清晰：学校的组织架构天然闭合，管理员、教师、学生均归属特定学校</w:t>
      </w:r>
    </w:p>
    <w:p>
      <w:pPr>
        <w:pStyle w:val="ListBullet"/>
      </w:pPr>
      <w:r>
        <w:t>数据敏感性高：学生心理测评数据属于高度敏感的个人信息，需严格隔离</w:t>
      </w:r>
    </w:p>
    <w:p>
      <w:pPr>
        <w:pStyle w:val="ListBullet"/>
      </w:pPr>
      <w:r>
        <w:t>配置差异大：不同学校有独立的预警规则、测评体系、通知渠道</w:t>
      </w:r>
    </w:p>
    <w:p>
      <w:pPr>
        <w:pStyle w:val="ListBullet"/>
      </w:pPr>
      <w:r>
        <w:t>独立部署需求：部分重点学校可能要求私有化部署</w:t>
      </w:r>
    </w:p>
    <w:p>
      <w:pPr>
        <w:pStyle w:val="Heading2"/>
      </w:pPr>
      <w:r>
        <w:t>1.2 租户标识策略</w:t>
      </w:r>
    </w:p>
    <w:p>
      <w:r>
        <w:t>租户标识体系采用三级结构：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标识类型</w:t>
            </w:r>
          </w:p>
        </w:tc>
        <w:tc>
          <w:tcPr>
            <w:tcW w:type="dxa" w:w="2880"/>
          </w:tcPr>
          <w:p>
            <w:r>
              <w:t>格式示例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TenantId</w:t>
            </w:r>
          </w:p>
        </w:tc>
        <w:tc>
          <w:tcPr>
            <w:tcW w:type="dxa" w:w="2880"/>
          </w:tcPr>
          <w:p>
            <w:r>
              <w:t>school_xxxxx</w:t>
            </w:r>
          </w:p>
        </w:tc>
        <w:tc>
          <w:tcPr>
            <w:tcW w:type="dxa" w:w="2880"/>
          </w:tcPr>
          <w:p>
            <w:r>
              <w:t>全局唯一UUID，用于数据库主键和API路由</w:t>
            </w:r>
          </w:p>
        </w:tc>
      </w:tr>
      <w:tr>
        <w:tc>
          <w:tcPr>
            <w:tcW w:type="dxa" w:w="2880"/>
          </w:tcPr>
          <w:p>
            <w:r>
              <w:t>SchoolCode</w:t>
            </w:r>
          </w:p>
        </w:tc>
        <w:tc>
          <w:tcPr>
            <w:tcW w:type="dxa" w:w="2880"/>
          </w:tcPr>
          <w:p>
            <w:r>
              <w:t>Nanjing_No1_High</w:t>
            </w:r>
          </w:p>
        </w:tc>
        <w:tc>
          <w:tcPr>
            <w:tcW w:type="dxa" w:w="2880"/>
          </w:tcPr>
          <w:p>
            <w:r>
              <w:t>业务编码，用于SSO集成和外部引用</w:t>
            </w:r>
          </w:p>
        </w:tc>
      </w:tr>
      <w:tr>
        <w:tc>
          <w:tcPr>
            <w:tcW w:type="dxa" w:w="2880"/>
          </w:tcPr>
          <w:p>
            <w:r>
              <w:t>SubDomain</w:t>
            </w:r>
          </w:p>
        </w:tc>
        <w:tc>
          <w:tcPr>
            <w:tcW w:type="dxa" w:w="2880"/>
          </w:tcPr>
          <w:p>
            <w:r>
              <w:t>nanjing-no1.ai-school.com</w:t>
            </w:r>
          </w:p>
        </w:tc>
        <w:tc>
          <w:tcPr>
            <w:tcW w:type="dxa" w:w="2880"/>
          </w:tcPr>
          <w:p>
            <w:r>
              <w:t>多租户域名隔离前缀</w:t>
            </w:r>
          </w:p>
        </w:tc>
      </w:tr>
    </w:tbl>
    <w:p/>
    <w:p>
      <w:r>
        <w:rPr>
          <w:b/>
        </w:rPr>
        <w:t>关键原则：</w:t>
      </w:r>
      <w:r>
        <w:t>TenantId不可暴露给前端，仅在后端服务间传递；SchoolCode可出现在URL和日志中；所有跨租户操作必须携带TenantId且需二次校验。</w:t>
      </w:r>
    </w:p>
    <w:p>
      <w:pPr>
        <w:pStyle w:val="Heading2"/>
      </w:pPr>
      <w:r>
        <w:t>1.3 租户配额管理</w:t>
      </w:r>
    </w:p>
    <w:p>
      <w:r>
        <w:t>租户配额采用分层管理机制：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配额维度</w:t>
            </w:r>
          </w:p>
        </w:tc>
        <w:tc>
          <w:tcPr>
            <w:tcW w:type="dxa" w:w="2880"/>
          </w:tcPr>
          <w:p>
            <w:r>
              <w:t>免费版</w:t>
            </w:r>
          </w:p>
        </w:tc>
        <w:tc>
          <w:tcPr>
            <w:tcW w:type="dxa" w:w="2880"/>
          </w:tcPr>
          <w:p>
            <w:r>
              <w:t>专业版/私有部署</w:t>
            </w:r>
          </w:p>
        </w:tc>
      </w:tr>
      <w:tr>
        <w:tc>
          <w:tcPr>
            <w:tcW w:type="dxa" w:w="2880"/>
          </w:tcPr>
          <w:p>
            <w:r>
              <w:t>用户规模</w:t>
            </w:r>
          </w:p>
        </w:tc>
        <w:tc>
          <w:tcPr>
            <w:tcW w:type="dxa" w:w="2880"/>
          </w:tcPr>
          <w:p>
            <w:r>
              <w:t>500人</w:t>
            </w:r>
          </w:p>
        </w:tc>
        <w:tc>
          <w:tcPr>
            <w:tcW w:type="dxa" w:w="2880"/>
          </w:tcPr>
          <w:p>
            <w:r>
              <w:t>无限制</w:t>
            </w:r>
          </w:p>
        </w:tc>
      </w:tr>
      <w:tr>
        <w:tc>
          <w:tcPr>
            <w:tcW w:type="dxa" w:w="2880"/>
          </w:tcPr>
          <w:p>
            <w:r>
              <w:t>存储空间</w:t>
            </w:r>
          </w:p>
        </w:tc>
        <w:tc>
          <w:tcPr>
            <w:tcW w:type="dxa" w:w="2880"/>
          </w:tcPr>
          <w:p>
            <w:r>
              <w:t>10GB</w:t>
            </w:r>
          </w:p>
        </w:tc>
        <w:tc>
          <w:tcPr>
            <w:tcW w:type="dxa" w:w="2880"/>
          </w:tcPr>
          <w:p>
            <w:r>
              <w:t>100GB+</w:t>
            </w:r>
          </w:p>
        </w:tc>
      </w:tr>
      <w:tr>
        <w:tc>
          <w:tcPr>
            <w:tcW w:type="dxa" w:w="2880"/>
          </w:tcPr>
          <w:p>
            <w:r>
              <w:t>API调用频率</w:t>
            </w:r>
          </w:p>
        </w:tc>
        <w:tc>
          <w:tcPr>
            <w:tcW w:type="dxa" w:w="2880"/>
          </w:tcPr>
          <w:p>
            <w:r>
              <w:t>1000次/分钟</w:t>
            </w:r>
          </w:p>
        </w:tc>
        <w:tc>
          <w:tcPr>
            <w:tcW w:type="dxa" w:w="2880"/>
          </w:tcPr>
          <w:p>
            <w:r>
              <w:t>10000次/分钟</w:t>
            </w:r>
          </w:p>
        </w:tc>
      </w:tr>
      <w:tr>
        <w:tc>
          <w:tcPr>
            <w:tcW w:type="dxa" w:w="2880"/>
          </w:tcPr>
          <w:p>
            <w:r>
              <w:t>功能模块</w:t>
            </w:r>
          </w:p>
        </w:tc>
        <w:tc>
          <w:tcPr>
            <w:tcW w:type="dxa" w:w="2880"/>
          </w:tcPr>
          <w:p>
            <w:r>
              <w:t>基础测评</w:t>
            </w:r>
          </w:p>
        </w:tc>
        <w:tc>
          <w:tcPr>
            <w:tcW w:type="dxa" w:w="2880"/>
          </w:tcPr>
          <w:p>
            <w:r>
              <w:t>全部模块</w:t>
            </w:r>
          </w:p>
        </w:tc>
      </w:tr>
    </w:tbl>
    <w:p/>
    <w:p>
      <w:r>
        <w:t>配额校验在API网关层完成，超额返回429状态码，配额信息通过X-RateLimit-*响应头透传。</w:t>
      </w:r>
    </w:p>
    <w:p>
      <w:pPr>
        <w:pStyle w:val="Heading1"/>
      </w:pPr>
      <w:r>
        <w:t>二、数据隔离策略</w:t>
      </w:r>
    </w:p>
    <w:p>
      <w:pPr>
        <w:pStyle w:val="Heading2"/>
      </w:pPr>
      <w:r>
        <w:t>2.1 数据库隔离级别</w:t>
      </w:r>
    </w:p>
    <w:p>
      <w:r>
        <w:rPr>
          <w:b w:val="0"/>
        </w:rPr>
        <w:t>推荐采用</w:t>
      </w:r>
      <w:r>
        <w:rPr>
          <w:b/>
        </w:rPr>
        <w:t>Schema级隔离</w:t>
      </w:r>
      <w:r>
        <w:t>作为主要隔离手段，理由如下：</w:t>
      </w:r>
    </w:p>
    <w:p>
      <w:pPr>
        <w:pStyle w:val="ListBullet"/>
      </w:pPr>
      <w:r>
        <w:t>隔离强度适中：比共享数据库共享表有更强的隔离性，比独立数据库成本更低</w:t>
      </w:r>
    </w:p>
    <w:p>
      <w:pPr>
        <w:pStyle w:val="ListBullet"/>
      </w:pPr>
      <w:r>
        <w:t>运维复杂度可控：数据库实例数量可控，备份恢复策略统一</w:t>
      </w:r>
    </w:p>
    <w:p>
      <w:pPr>
        <w:pStyle w:val="ListBullet"/>
      </w:pPr>
      <w:r>
        <w:t>性能影响小：同实例内Schema隔离的查询性能优于跨库查询</w:t>
      </w:r>
    </w:p>
    <w:p>
      <w:pPr>
        <w:pStyle w:val="ListBullet"/>
      </w:pPr>
      <w:r>
        <w:t>迁移路径清晰：从共享Schema升级到独立Schema改造成本低</w:t>
      </w:r>
    </w:p>
    <w:p/>
    <w:p>
      <w:r>
        <w:rPr>
          <w:b/>
        </w:rPr>
        <w:t>Schema命名规范：</w:t>
      </w:r>
      <w:r>
        <w:t>tenant_{tenant_id}，如tenant_school_001。每个租户Schema包含完整的业务表集合，共享相同的表结构定义。</w:t>
      </w:r>
    </w:p>
    <w:p>
      <w:pPr>
        <w:pStyle w:val="Heading2"/>
      </w:pPr>
      <w:r>
        <w:t>2.2 租户数据路由机制</w:t>
      </w:r>
    </w:p>
    <w:p>
      <w:r>
        <w:t>数据路由采用中间件注入模式，核心流程如下：</w:t>
      </w:r>
    </w:p>
    <w:p>
      <w:pPr>
        <w:pStyle w:val="ListNumber"/>
      </w:pPr>
      <w:r>
        <w:t>1. 请求进入API网关，从JWT/Header提取TenantId</w:t>
      </w:r>
    </w:p>
    <w:p>
      <w:pPr>
        <w:pStyle w:val="ListNumber"/>
      </w:pPr>
      <w:r>
        <w:t>2. 网关将TenantId注入X-Tenant-Id请求头</w:t>
      </w:r>
    </w:p>
    <w:p>
      <w:pPr>
        <w:pStyle w:val="ListNumber"/>
      </w:pPr>
      <w:r>
        <w:t>3. 应用层数据库访问框架拦截查询，自动追加WHERE tenant_id = ?</w:t>
      </w:r>
    </w:p>
    <w:p>
      <w:pPr>
        <w:pStyle w:val="ListNumber"/>
      </w:pPr>
      <w:r>
        <w:t>4. ORM层在INSERT/UPDATE时自动填充租户标识字段</w:t>
      </w:r>
    </w:p>
    <w:p>
      <w:pPr>
        <w:pStyle w:val="ListNumber"/>
      </w:pPr>
      <w:r>
        <w:t>5. 跨Schema查询需显式声明@CrossTenant注解并经过安全审批</w:t>
      </w:r>
    </w:p>
    <w:p>
      <w:pPr>
        <w:pStyle w:val="Heading2"/>
      </w:pPr>
      <w:r>
        <w:t>2.3 跨租户查询禁止规则</w:t>
      </w:r>
    </w:p>
    <w:p>
      <w:r>
        <w:t>以下行为在代码层面严格禁止：</w:t>
      </w:r>
    </w:p>
    <w:p>
      <w:pPr>
        <w:pStyle w:val="ListBullet"/>
      </w:pPr>
      <w:r>
        <w:t>禁止不带租户条件的SELECT查询，违者触发代码审查拦截</w:t>
      </w:r>
    </w:p>
    <w:p>
      <w:pPr>
        <w:pStyle w:val="ListBullet"/>
      </w:pPr>
      <w:r>
        <w:t>禁止在事务中同时操作多个租户Schema，违者触发运行时异常</w:t>
      </w:r>
    </w:p>
    <w:p>
      <w:pPr>
        <w:pStyle w:val="ListBullet"/>
      </w:pPr>
      <w:r>
        <w:t>禁止使用管理员权限绕过租户数据边界</w:t>
      </w:r>
    </w:p>
    <w:p>
      <w:pPr>
        <w:pStyle w:val="ListBullet"/>
      </w:pPr>
      <w:r>
        <w:t>禁止在日志中打印其他租户的数据（脱敏规则）</w:t>
      </w:r>
    </w:p>
    <w:p>
      <w:pPr>
        <w:pStyle w:val="ListBullet"/>
      </w:pPr>
      <w:r>
        <w:t>禁止文件系统中不同租户的数据文件混放</w:t>
      </w:r>
    </w:p>
    <w:p>
      <w:pPr>
        <w:pStyle w:val="Heading1"/>
      </w:pPr>
      <w:r>
        <w:t>三、认证与授权</w:t>
      </w:r>
    </w:p>
    <w:p>
      <w:pPr>
        <w:pStyle w:val="Heading2"/>
      </w:pPr>
      <w:r>
        <w:t>3.1 学校SSO集成</w:t>
      </w:r>
    </w:p>
    <w:p>
      <w:r>
        <w:t>支持与钉钉、企业微信两大国内主流办公平台深度集成：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平台</w:t>
            </w:r>
          </w:p>
        </w:tc>
        <w:tc>
          <w:tcPr>
            <w:tcW w:type="dxa" w:w="2160"/>
          </w:tcPr>
          <w:p>
            <w:r>
              <w:t>认证协议</w:t>
            </w:r>
          </w:p>
        </w:tc>
        <w:tc>
          <w:tcPr>
            <w:tcW w:type="dxa" w:w="2160"/>
          </w:tcPr>
          <w:p>
            <w:r>
              <w:t>用户属性映射</w:t>
            </w:r>
          </w:p>
        </w:tc>
        <w:tc>
          <w:tcPr>
            <w:tcW w:type="dxa" w:w="2160"/>
          </w:tcPr>
          <w:p>
            <w:r>
              <w:t>管理功能</w:t>
            </w:r>
          </w:p>
        </w:tc>
      </w:tr>
      <w:tr>
        <w:tc>
          <w:tcPr>
            <w:tcW w:type="dxa" w:w="2160"/>
          </w:tcPr>
          <w:p>
            <w:r>
              <w:t>钉钉</w:t>
            </w:r>
          </w:p>
        </w:tc>
        <w:tc>
          <w:tcPr>
            <w:tcW w:type="dxa" w:w="2160"/>
          </w:tcPr>
          <w:p>
            <w:r>
              <w:t>OAuth2.0 + CAS</w:t>
            </w:r>
          </w:p>
        </w:tc>
        <w:tc>
          <w:tcPr>
            <w:tcW w:type="dxa" w:w="2160"/>
          </w:tcPr>
          <w:p>
            <w:r>
              <w:t>staffId→UserId</w:t>
            </w:r>
          </w:p>
        </w:tc>
        <w:tc>
          <w:tcPr>
            <w:tcW w:type="dxa" w:w="2160"/>
          </w:tcPr>
          <w:p>
            <w:r>
              <w:t>组织架构同步</w:t>
            </w:r>
          </w:p>
        </w:tc>
      </w:tr>
      <w:tr>
        <w:tc>
          <w:tcPr>
            <w:tcW w:type="dxa" w:w="2160"/>
          </w:tcPr>
          <w:p>
            <w:r>
              <w:t>企业微信</w:t>
            </w:r>
          </w:p>
        </w:tc>
        <w:tc>
          <w:tcPr>
            <w:tcW w:type="dxa" w:w="2160"/>
          </w:tcPr>
          <w:p>
            <w:r>
              <w:t>OAuth2.0 + 企业可信IP</w:t>
            </w:r>
          </w:p>
        </w:tc>
        <w:tc>
          <w:tcPr>
            <w:tcW w:type="dxa" w:w="2160"/>
          </w:tcPr>
          <w:p>
            <w:r>
              <w:t>UserId→UnionId</w:t>
            </w:r>
          </w:p>
        </w:tc>
        <w:tc>
          <w:tcPr>
            <w:tcW w:type="dxa" w:w="2160"/>
          </w:tcPr>
          <w:p>
            <w:r>
              <w:t>部门映射</w:t>
            </w:r>
          </w:p>
        </w:tc>
      </w:tr>
    </w:tbl>
    <w:p/>
    <w:p>
      <w:r>
        <w:rPr>
          <w:b/>
        </w:rPr>
        <w:t>SSO配置流程：</w:t>
      </w:r>
    </w:p>
    <w:p>
      <w:pPr>
        <w:pStyle w:val="ListNumber"/>
      </w:pPr>
      <w:r>
        <w:t>学校管理员在控制台录入SSO凭证（AppKey/AppSecret/Callback URL）</w:t>
      </w:r>
    </w:p>
    <w:p>
      <w:pPr>
        <w:pStyle w:val="ListNumber"/>
      </w:pPr>
      <w:r>
        <w:t>系统自动生成租户专属的Callback域名</w:t>
      </w:r>
    </w:p>
    <w:p>
      <w:pPr>
        <w:pStyle w:val="ListNumber"/>
      </w:pPr>
      <w:r>
        <w:t>首次登录时触发用户目录同步</w:t>
      </w:r>
    </w:p>
    <w:p>
      <w:pPr>
        <w:pStyle w:val="ListNumber"/>
      </w:pPr>
      <w:r>
        <w:t>Token与租户上下文绑定，有效期24小时</w:t>
      </w:r>
    </w:p>
    <w:p>
      <w:pPr>
        <w:pStyle w:val="Heading2"/>
      </w:pPr>
      <w:r>
        <w:t>3.2 跨校认证禁止</w:t>
      </w:r>
    </w:p>
    <w:p>
      <w:r>
        <w:t>认证层面的跨校隔离机制：</w:t>
      </w:r>
    </w:p>
    <w:p>
      <w:pPr>
        <w:pStyle w:val="ListBullet"/>
      </w:pPr>
      <w:r>
        <w:t>用户Token必须绑定TenantId，解构Token时同步校验归属租户</w:t>
      </w:r>
    </w:p>
    <w:p>
      <w:pPr>
        <w:pStyle w:val="ListBullet"/>
      </w:pPr>
      <w:r>
        <w:t>跨校用户访问时系统自动跳转至其归属学校登录页</w:t>
      </w:r>
    </w:p>
    <w:p>
      <w:pPr>
        <w:pStyle w:val="ListBullet"/>
      </w:pPr>
      <w:r>
        <w:t>跨校API调用返回403并记录安全审计日志</w:t>
      </w:r>
    </w:p>
    <w:p>
      <w:pPr>
        <w:pStyle w:val="ListBullet"/>
      </w:pPr>
      <w:r>
        <w:t>同一用户多校任职场景：系统支持一个手机号绑定多个TenantId，但需显式切换上下文</w:t>
      </w:r>
    </w:p>
    <w:p>
      <w:pPr>
        <w:pStyle w:val="Heading2"/>
      </w:pPr>
      <w:r>
        <w:t>3.3 权限继承与覆盖</w:t>
      </w:r>
    </w:p>
    <w:p>
      <w:r>
        <w:t>权限模型采用RBAC+ABAC混合模式：</w:t>
      </w:r>
    </w:p>
    <w:p>
      <w:pPr>
        <w:pStyle w:val="ListBullet"/>
      </w:pPr>
      <w:r>
        <w:t>平台级权限（系统管理员）：跨校管理、账单管理、系统配置</w:t>
      </w:r>
    </w:p>
    <w:p>
      <w:pPr>
        <w:pStyle w:val="ListBullet"/>
      </w:pPr>
      <w:r>
        <w:t>租户级权限（学校管理员）：本校用户管理、配置管理、数据查看</w:t>
      </w:r>
    </w:p>
    <w:p>
      <w:pPr>
        <w:pStyle w:val="ListBullet"/>
      </w:pPr>
      <w:r>
        <w:t>角色级权限（教师/辅导员）：所辖学生数据、预警处理、测评管理</w:t>
      </w:r>
    </w:p>
    <w:p>
      <w:pPr>
        <w:pStyle w:val="ListBullet"/>
      </w:pPr>
      <w:r>
        <w:t>数据级权限：只能访问归属自己（含下级）的学生数据</w:t>
      </w:r>
    </w:p>
    <w:p/>
    <w:p>
      <w:r>
        <w:rPr>
          <w:b/>
        </w:rPr>
        <w:t>覆盖规则：</w:t>
      </w:r>
      <w:r>
        <w:t>租户级配置可覆盖平台级默认配置（如预警阈值），但不可覆盖安全策略和审计规则。</w:t>
      </w:r>
    </w:p>
    <w:p>
      <w:pPr>
        <w:pStyle w:val="Heading1"/>
      </w:pPr>
      <w:r>
        <w:t>四、学校级配置</w:t>
      </w:r>
    </w:p>
    <w:p>
      <w:pPr>
        <w:pStyle w:val="Heading2"/>
      </w:pPr>
      <w:r>
        <w:t>4.1 学校Logo和名称定制</w:t>
      </w:r>
    </w:p>
    <w:p>
      <w:r>
        <w:t>定制化要素：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要素</w:t>
            </w:r>
          </w:p>
        </w:tc>
        <w:tc>
          <w:tcPr>
            <w:tcW w:type="dxa" w:w="4320"/>
          </w:tcPr>
          <w:p>
            <w:r>
              <w:t>规范</w:t>
            </w:r>
          </w:p>
        </w:tc>
      </w:tr>
      <w:tr>
        <w:tc>
          <w:tcPr>
            <w:tcW w:type="dxa" w:w="4320"/>
          </w:tcPr>
          <w:p>
            <w:r>
              <w:t>Logo图片</w:t>
            </w:r>
          </w:p>
        </w:tc>
        <w:tc>
          <w:tcPr>
            <w:tcW w:type="dxa" w:w="4320"/>
          </w:tcPr>
          <w:p>
            <w:r>
              <w:t>PNG/SVG，最大200KB，建议尺寸 180x60px</w:t>
            </w:r>
          </w:p>
        </w:tc>
      </w:tr>
      <w:tr>
        <w:tc>
          <w:tcPr>
            <w:tcW w:type="dxa" w:w="4320"/>
          </w:tcPr>
          <w:p>
            <w:r>
              <w:t>学校全称</w:t>
            </w:r>
          </w:p>
        </w:tc>
        <w:tc>
          <w:tcPr>
            <w:tcW w:type="dxa" w:w="4320"/>
          </w:tcPr>
          <w:p>
            <w:r>
              <w:t>最多20个字符，出现在页面Title和邮件发件人</w:t>
            </w:r>
          </w:p>
        </w:tc>
      </w:tr>
      <w:tr>
        <w:tc>
          <w:tcPr>
            <w:tcW w:type="dxa" w:w="4320"/>
          </w:tcPr>
          <w:p>
            <w:r>
              <w:t>学校简称</w:t>
            </w:r>
          </w:p>
        </w:tc>
        <w:tc>
          <w:tcPr>
            <w:tcW w:type="dxa" w:w="4320"/>
          </w:tcPr>
          <w:p>
            <w:r>
              <w:t>最多10个字符，出现在侧边栏和通知署名</w:t>
            </w:r>
          </w:p>
        </w:tc>
      </w:tr>
      <w:tr>
        <w:tc>
          <w:tcPr>
            <w:tcW w:type="dxa" w:w="4320"/>
          </w:tcPr>
          <w:p>
            <w:r>
              <w:t>主题色</w:t>
            </w:r>
          </w:p>
        </w:tc>
        <w:tc>
          <w:tcPr>
            <w:tcW w:type="dxa" w:w="4320"/>
          </w:tcPr>
          <w:p>
            <w:r>
              <w:t>HEX色值，应用在按钮、强调色、登录页背景</w:t>
            </w:r>
          </w:p>
        </w:tc>
      </w:tr>
    </w:tbl>
    <w:p>
      <w:pPr>
        <w:pStyle w:val="Heading2"/>
      </w:pPr>
      <w:r>
        <w:t>4.2 预警规则定制</w:t>
      </w:r>
    </w:p>
    <w:p>
      <w:r>
        <w:t>可配置的预警阈值项：</w:t>
      </w:r>
    </w:p>
    <w:p>
      <w:pPr>
        <w:pStyle w:val="ListBullet"/>
      </w:pPr>
      <w:r>
        <w:t>SCL-90总分阈值：默认160分，学校可配置80-200分范围</w:t>
      </w:r>
    </w:p>
    <w:p>
      <w:pPr>
        <w:pStyle w:val="ListBullet"/>
      </w:pPr>
      <w:r>
        <w:t>SCL-90因子异常阈值：默认2.0，学校可配置1.5-3.5范围</w:t>
      </w:r>
    </w:p>
    <w:p>
      <w:pPr>
        <w:pStyle w:val="ListBullet"/>
      </w:pPr>
      <w:r>
        <w:t>危机风险等级划分：低/中/高/紧急四级，学校可调整各等级分界线</w:t>
      </w:r>
    </w:p>
    <w:p>
      <w:pPr>
        <w:pStyle w:val="ListBullet"/>
      </w:pPr>
      <w:r>
        <w:t>连续未测评提醒周期：默认14天，学校可配置7-60天</w:t>
      </w:r>
    </w:p>
    <w:p>
      <w:pPr>
        <w:pStyle w:val="ListBullet"/>
      </w:pPr>
      <w:r>
        <w:t>辅导员响应超时时间：默认48小时，学校可配置24-168小时</w:t>
      </w:r>
    </w:p>
    <w:p>
      <w:pPr>
        <w:pStyle w:val="Heading2"/>
      </w:pPr>
      <w:r>
        <w:t>4.3 测评题目选择</w:t>
      </w:r>
    </w:p>
    <w:p>
      <w:r>
        <w:t>系统内置测评量表库，学校可按需启用：</w:t>
      </w:r>
    </w:p>
    <w:p>
      <w:pPr>
        <w:pStyle w:val="ListBullet"/>
      </w:pPr>
      <w:r>
        <w:t>SCL-90（症状自评量表）：必选测评项</w:t>
      </w:r>
    </w:p>
    <w:p>
      <w:pPr>
        <w:pStyle w:val="ListBullet"/>
      </w:pPr>
      <w:r>
        <w:t>SDS（抑郁自评量表）：可选</w:t>
      </w:r>
    </w:p>
    <w:p>
      <w:pPr>
        <w:pStyle w:val="ListBullet"/>
      </w:pPr>
      <w:r>
        <w:t>SAS（焦虑自评量表）：可选</w:t>
      </w:r>
    </w:p>
    <w:p>
      <w:pPr>
        <w:pStyle w:val="ListBullet"/>
      </w:pPr>
      <w:r>
        <w:t>MMPI（明尼苏达多项人格测验）：可选，专业版</w:t>
      </w:r>
    </w:p>
    <w:p>
      <w:pPr>
        <w:pStyle w:val="ListBullet"/>
      </w:pPr>
      <w:r>
        <w:t>艾森克人格问卷（EPQ）：可选</w:t>
      </w:r>
    </w:p>
    <w:p>
      <w:pPr>
        <w:pStyle w:val="ListBullet"/>
      </w:pPr>
      <w:r>
        <w:t>UCLA孤独量表：可选</w:t>
      </w:r>
    </w:p>
    <w:p/>
    <w:p>
      <w:r>
        <w:rPr>
          <w:b/>
        </w:rPr>
        <w:t>注意：</w:t>
      </w:r>
      <w:r>
        <w:t>测评题目选择会影响学生端界面和报告生成逻辑；切换测评体系需二次确认并归档历史数据。</w:t>
      </w:r>
    </w:p>
    <w:p>
      <w:pPr>
        <w:pStyle w:val="Heading2"/>
      </w:pPr>
      <w:r>
        <w:t>4.4 通知渠道配置</w:t>
      </w:r>
    </w:p>
    <w:p>
      <w:r>
        <w:t>支持的的通知渠道：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渠道</w:t>
            </w:r>
          </w:p>
        </w:tc>
        <w:tc>
          <w:tcPr>
            <w:tcW w:type="dxa" w:w="2880"/>
          </w:tcPr>
          <w:p>
            <w:r>
              <w:t>触发场景</w:t>
            </w:r>
          </w:p>
        </w:tc>
        <w:tc>
          <w:tcPr>
            <w:tcW w:type="dxa" w:w="2880"/>
          </w:tcPr>
          <w:p>
            <w:r>
              <w:t>可配置项</w:t>
            </w:r>
          </w:p>
        </w:tc>
      </w:tr>
      <w:tr>
        <w:tc>
          <w:tcPr>
            <w:tcW w:type="dxa" w:w="2880"/>
          </w:tcPr>
          <w:p>
            <w:r>
              <w:t>钉钉机器人</w:t>
            </w:r>
          </w:p>
        </w:tc>
        <w:tc>
          <w:tcPr>
            <w:tcW w:type="dxa" w:w="2880"/>
          </w:tcPr>
          <w:p>
            <w:r>
              <w:t>预警通知、报告生成完成</w:t>
            </w:r>
          </w:p>
        </w:tc>
        <w:tc>
          <w:tcPr>
            <w:tcW w:type="dxa" w:w="2880"/>
          </w:tcPr>
          <w:p>
            <w:r>
              <w:t>Webhook URL、关键词、加密方式</w:t>
            </w:r>
          </w:p>
        </w:tc>
      </w:tr>
      <w:tr>
        <w:tc>
          <w:tcPr>
            <w:tcW w:type="dxa" w:w="2880"/>
          </w:tcPr>
          <w:p>
            <w:r>
              <w:t>企业微信机器人</w:t>
            </w:r>
          </w:p>
        </w:tc>
        <w:tc>
          <w:tcPr>
            <w:tcW w:type="dxa" w:w="2880"/>
          </w:tcPr>
          <w:p>
            <w:r>
              <w:t>预警通知、报告生成完成</w:t>
            </w:r>
          </w:p>
        </w:tc>
        <w:tc>
          <w:tcPr>
            <w:tcW w:type="dxa" w:w="2880"/>
          </w:tcPr>
          <w:p>
            <w:r>
              <w:t>Webhook URL、AgentId</w:t>
            </w:r>
          </w:p>
        </w:tc>
      </w:tr>
      <w:tr>
        <w:tc>
          <w:tcPr>
            <w:tcW w:type="dxa" w:w="2880"/>
          </w:tcPr>
          <w:p>
            <w:r>
              <w:t>邮件</w:t>
            </w:r>
          </w:p>
        </w:tc>
        <w:tc>
          <w:tcPr>
            <w:tcW w:type="dxa" w:w="2880"/>
          </w:tcPr>
          <w:p>
            <w:r>
              <w:t>报告推送、密码重置</w:t>
            </w:r>
          </w:p>
        </w:tc>
        <w:tc>
          <w:tcPr>
            <w:tcW w:type="dxa" w:w="2880"/>
          </w:tcPr>
          <w:p>
            <w:r>
              <w:t>SMTP配置、发件人邮箱、签名模板</w:t>
            </w:r>
          </w:p>
        </w:tc>
      </w:tr>
    </w:tbl>
    <w:p>
      <w:pPr>
        <w:pStyle w:val="Heading1"/>
      </w:pPr>
      <w:r>
        <w:t>五、网络与安全</w:t>
      </w:r>
    </w:p>
    <w:p>
      <w:pPr>
        <w:pStyle w:val="Heading2"/>
      </w:pPr>
      <w:r>
        <w:t>5.1 TLS传输加密</w:t>
      </w:r>
    </w:p>
    <w:p>
      <w:r>
        <w:t>传输层安全要求：</w:t>
      </w:r>
    </w:p>
    <w:p>
      <w:pPr>
        <w:pStyle w:val="ListBullet"/>
      </w:pPr>
      <w:r>
        <w:t>全站强制HTTPS，TLS版本&gt;=1.2</w:t>
      </w:r>
    </w:p>
    <w:p>
      <w:pPr>
        <w:pStyle w:val="ListBullet"/>
      </w:pPr>
      <w:r>
        <w:t>证书由可信CA签发（Lets Encrypt或学校自有CA）</w:t>
      </w:r>
    </w:p>
    <w:p>
      <w:pPr>
        <w:pStyle w:val="ListBullet"/>
      </w:pPr>
      <w:r>
        <w:t>API网关到后端服务间内部通信采用mTLS双向认证</w:t>
      </w:r>
    </w:p>
    <w:p>
      <w:pPr>
        <w:pStyle w:val="ListBullet"/>
      </w:pPr>
      <w:r>
        <w:t>敏感字段（身份证号、心理测评原始数据）采用AES-256加密存储</w:t>
      </w:r>
    </w:p>
    <w:p>
      <w:pPr>
        <w:pStyle w:val="ListBullet"/>
      </w:pPr>
      <w:r>
        <w:t>密钥管理系统（KMS）集中管理加密密钥，支持自动轮换</w:t>
      </w:r>
    </w:p>
    <w:p>
      <w:pPr>
        <w:pStyle w:val="Heading2"/>
      </w:pPr>
      <w:r>
        <w:t>5.2 API鉴权机制</w:t>
      </w:r>
    </w:p>
    <w:p>
      <w:r>
        <w:t>采用三层鉴权体系：</w:t>
      </w:r>
    </w:p>
    <w:p>
      <w:pPr>
        <w:pStyle w:val="ListBullet"/>
      </w:pPr>
      <w:r>
        <w:t>第一层：API Key + Secret（用于服务端到服务端调用）</w:t>
      </w:r>
    </w:p>
    <w:p>
      <w:pPr>
        <w:pStyle w:val="ListBullet"/>
      </w:pPr>
      <w:r>
        <w:t>第二层：JWT Bearer Token（用于用户端访问，有效期24小时）</w:t>
      </w:r>
    </w:p>
    <w:p>
      <w:pPr>
        <w:pStyle w:val="ListBullet"/>
      </w:pPr>
      <w:r>
        <w:t>第三层：TenantId + UserId组合校验（防止越权访问）</w:t>
      </w:r>
    </w:p>
    <w:p/>
    <w:p>
      <w:r>
        <w:rPr>
          <w:b/>
        </w:rPr>
        <w:t>Token结构示例：</w:t>
      </w:r>
      <w:r>
        <w:br/>
        <w:t>JWT Payload包含：iss（签发者）、sub（用户ID）、tid（租户ID）、rid（角色ID）、exp（过期时间）</w:t>
      </w:r>
    </w:p>
    <w:p>
      <w:pPr>
        <w:pStyle w:val="Heading2"/>
      </w:pPr>
      <w:r>
        <w:t>5.3 租户网络隔离</w:t>
      </w:r>
    </w:p>
    <w:p>
      <w:r>
        <w:t>网络层隔离措施：</w:t>
      </w:r>
    </w:p>
    <w:p>
      <w:pPr>
        <w:pStyle w:val="ListBullet"/>
      </w:pPr>
      <w:r>
        <w:t>租户专属VPC/安全组，网络流量物理隔离</w:t>
      </w:r>
    </w:p>
    <w:p>
      <w:pPr>
        <w:pStyle w:val="ListBullet"/>
      </w:pPr>
      <w:r>
        <w:t>数据库只对内网应用开放，禁止公网直接访问</w:t>
      </w:r>
    </w:p>
    <w:p>
      <w:pPr>
        <w:pStyle w:val="ListBullet"/>
      </w:pPr>
      <w:r>
        <w:t>跨租户数据交换需通过消息队列+审批流，禁止直连</w:t>
      </w:r>
    </w:p>
    <w:p>
      <w:pPr>
        <w:pStyle w:val="ListBullet"/>
      </w:pPr>
      <w:r>
        <w:t>文件存储采用租户隔离的Bucket/目录策略</w:t>
      </w:r>
    </w:p>
    <w:p>
      <w:pPr>
        <w:pStyle w:val="Heading1"/>
      </w:pPr>
      <w:r>
        <w:t>六、性能隔离</w:t>
      </w:r>
    </w:p>
    <w:p>
      <w:pPr>
        <w:pStyle w:val="Heading2"/>
      </w:pPr>
      <w:r>
        <w:t>6.1 租户级别资源配额</w:t>
      </w:r>
    </w:p>
    <w:p>
      <w:r>
        <w:t>计算资源配额：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资源类型</w:t>
            </w:r>
          </w:p>
        </w:tc>
        <w:tc>
          <w:tcPr>
            <w:tcW w:type="dxa" w:w="2880"/>
          </w:tcPr>
          <w:p>
            <w:r>
              <w:t>免费版限制</w:t>
            </w:r>
          </w:p>
        </w:tc>
        <w:tc>
          <w:tcPr>
            <w:tcW w:type="dxa" w:w="2880"/>
          </w:tcPr>
          <w:p>
            <w:r>
              <w:t>专业版限制</w:t>
            </w:r>
          </w:p>
        </w:tc>
      </w:tr>
      <w:tr>
        <w:tc>
          <w:tcPr>
            <w:tcW w:type="dxa" w:w="2880"/>
          </w:tcPr>
          <w:p>
            <w:r>
              <w:t>CPU瞬间峰值</w:t>
            </w:r>
          </w:p>
        </w:tc>
        <w:tc>
          <w:tcPr>
            <w:tcW w:type="dxa" w:w="2880"/>
          </w:tcPr>
          <w:p>
            <w:r>
              <w:t>2核</w:t>
            </w:r>
          </w:p>
        </w:tc>
        <w:tc>
          <w:tcPr>
            <w:tcW w:type="dxa" w:w="2880"/>
          </w:tcPr>
          <w:p>
            <w:r>
              <w:t>8核</w:t>
            </w:r>
          </w:p>
        </w:tc>
      </w:tr>
      <w:tr>
        <w:tc>
          <w:tcPr>
            <w:tcW w:type="dxa" w:w="2880"/>
          </w:tcPr>
          <w:p>
            <w:r>
              <w:t>内存</w:t>
            </w:r>
          </w:p>
        </w:tc>
        <w:tc>
          <w:tcPr>
            <w:tcW w:type="dxa" w:w="2880"/>
          </w:tcPr>
          <w:p>
            <w:r>
              <w:t>4GB</w:t>
            </w:r>
          </w:p>
        </w:tc>
        <w:tc>
          <w:tcPr>
            <w:tcW w:type="dxa" w:w="2880"/>
          </w:tcPr>
          <w:p>
            <w:r>
              <w:t>16GB</w:t>
            </w:r>
          </w:p>
        </w:tc>
      </w:tr>
      <w:tr>
        <w:tc>
          <w:tcPr>
            <w:tcW w:type="dxa" w:w="2880"/>
          </w:tcPr>
          <w:p>
            <w:r>
              <w:t>数据库连接池</w:t>
            </w:r>
          </w:p>
        </w:tc>
        <w:tc>
          <w:tcPr>
            <w:tcW w:type="dxa" w:w="2880"/>
          </w:tcPr>
          <w:p>
            <w:r>
              <w:t>20连接</w:t>
            </w:r>
          </w:p>
        </w:tc>
        <w:tc>
          <w:tcPr>
            <w:tcW w:type="dxa" w:w="2880"/>
          </w:tcPr>
          <w:p>
            <w:r>
              <w:t>100连接</w:t>
            </w:r>
          </w:p>
        </w:tc>
      </w:tr>
    </w:tbl>
    <w:p>
      <w:pPr>
        <w:pStyle w:val="Heading2"/>
      </w:pPr>
      <w:r>
        <w:t>6.2 公平调度策略</w:t>
      </w:r>
    </w:p>
    <w:p>
      <w:r>
        <w:t>采用加权公平队列（WFQ）调度策略：</w:t>
      </w:r>
    </w:p>
    <w:p>
      <w:pPr>
        <w:pStyle w:val="ListBullet"/>
      </w:pPr>
      <w:r>
        <w:t>每个租户分配基础权重（默认1.0），权重越高分配资源比例越高</w:t>
      </w:r>
    </w:p>
    <w:p>
      <w:pPr>
        <w:pStyle w:val="ListBullet"/>
      </w:pPr>
      <w:r>
        <w:t>突发请求可临时借用空闲配额，但需在60秒内归还</w:t>
      </w:r>
    </w:p>
    <w:p>
      <w:pPr>
        <w:pStyle w:val="ListBullet"/>
      </w:pPr>
      <w:r>
        <w:t>批量任务（如大批量报告生成）安排在低峰期执行</w:t>
      </w:r>
    </w:p>
    <w:p>
      <w:pPr>
        <w:pStyle w:val="ListBullet"/>
      </w:pPr>
      <w:r>
        <w:t>异步任务队列按租户分组，防止单个租户任务堆积</w:t>
      </w:r>
    </w:p>
    <w:p>
      <w:pPr>
        <w:pStyle w:val="Heading2"/>
      </w:pPr>
      <w:r>
        <w:t>6.3 异常租户限流</w:t>
      </w:r>
    </w:p>
    <w:p>
      <w:r>
        <w:t>异常检测与限流机制：</w:t>
      </w:r>
    </w:p>
    <w:p>
      <w:pPr>
        <w:pStyle w:val="ListBullet"/>
      </w:pPr>
      <w:r>
        <w:t>QPS超过配额150%时触发预警，超过200%时自动限流</w:t>
      </w:r>
    </w:p>
    <w:p>
      <w:pPr>
        <w:pStyle w:val="ListBullet"/>
      </w:pPr>
      <w:r>
        <w:t>异常行为模式检测：频繁跨权限访问、大量失败认证</w:t>
      </w:r>
    </w:p>
    <w:p>
      <w:pPr>
        <w:pStyle w:val="ListBullet"/>
      </w:pPr>
      <w:r>
        <w:t>被识别为异常的租户自动进入观察池，降级为保守策略</w:t>
      </w:r>
    </w:p>
    <w:p>
      <w:pPr>
        <w:pStyle w:val="ListBullet"/>
      </w:pPr>
      <w:r>
        <w:t>限流策略：返回429状态码，附带Retry-After头</w:t>
      </w:r>
    </w:p>
    <w:p>
      <w:pPr>
        <w:pStyle w:val="Heading1"/>
      </w:pPr>
      <w:r>
        <w:t>七、合规隔离</w:t>
      </w:r>
    </w:p>
    <w:p>
      <w:pPr>
        <w:pStyle w:val="Heading2"/>
      </w:pPr>
      <w:r>
        <w:t>7.1 数据驻留要求</w:t>
      </w:r>
    </w:p>
    <w:p>
      <w:r>
        <w:t>数据驻留策略：</w:t>
      </w:r>
    </w:p>
    <w:p>
      <w:pPr>
        <w:pStyle w:val="ListBullet"/>
      </w:pPr>
      <w:r>
        <w:t>敏感数据（学生心理档案）必须存储在大陆境内服务器</w:t>
      </w:r>
    </w:p>
    <w:p>
      <w:pPr>
        <w:pStyle w:val="ListBullet"/>
      </w:pPr>
      <w:r>
        <w:t>非敏感数据（学校配置、系统日志）可按需选择存储区域</w:t>
      </w:r>
    </w:p>
    <w:p>
      <w:pPr>
        <w:pStyle w:val="ListBullet"/>
      </w:pPr>
      <w:r>
        <w:t>私有化部署学校数据完全驻留在学校指定数据中心</w:t>
      </w:r>
    </w:p>
    <w:p>
      <w:pPr>
        <w:pStyle w:val="ListBullet"/>
      </w:pPr>
      <w:r>
        <w:t>数据跨境传输需经过数据脱敏和审批流程</w:t>
      </w:r>
    </w:p>
    <w:p>
      <w:pPr>
        <w:pStyle w:val="Heading2"/>
      </w:pPr>
      <w:r>
        <w:t>7.2 敏感数据学校级隔离</w:t>
      </w:r>
    </w:p>
    <w:p>
      <w:r>
        <w:t>敏感数据隔离措施：</w:t>
      </w:r>
    </w:p>
    <w:p>
      <w:pPr>
        <w:pStyle w:val="ListBullet"/>
      </w:pPr>
      <w:r>
        <w:t>心理测评原始数据采用租户专属加密密钥，与其他租户物理隔离</w:t>
      </w:r>
    </w:p>
    <w:p>
      <w:pPr>
        <w:pStyle w:val="ListBullet"/>
      </w:pPr>
      <w:r>
        <w:t>学生个人信息与测评结果分离存储，通过学生ID关联</w:t>
      </w:r>
    </w:p>
    <w:p>
      <w:pPr>
        <w:pStyle w:val="ListBullet"/>
      </w:pPr>
      <w:r>
        <w:t>敏感字段（家庭情况、心理病史）字段级加密，权限分离</w:t>
      </w:r>
    </w:p>
    <w:p>
      <w:pPr>
        <w:pStyle w:val="ListBullet"/>
      </w:pPr>
      <w:r>
        <w:t>导出数据时自动添加水印，包含学校标识和导出人信息</w:t>
      </w:r>
    </w:p>
    <w:p>
      <w:pPr>
        <w:pStyle w:val="Heading2"/>
      </w:pPr>
      <w:r>
        <w:t>7.3 审计日志隔离</w:t>
      </w:r>
    </w:p>
    <w:p>
      <w:r>
        <w:t>审计日志规范：</w:t>
      </w:r>
    </w:p>
    <w:p>
      <w:pPr>
        <w:pStyle w:val="ListBullet"/>
      </w:pPr>
      <w:r>
        <w:t>操作日志按租户独立存储，日志文件命名包含TenantId</w:t>
      </w:r>
    </w:p>
    <w:p>
      <w:pPr>
        <w:pStyle w:val="ListBullet"/>
      </w:pPr>
      <w:r>
        <w:t>日志保留期限：免费版30天，专业版1年，私有化部署可自定义</w:t>
      </w:r>
    </w:p>
    <w:p>
      <w:pPr>
        <w:pStyle w:val="ListBullet"/>
      </w:pPr>
      <w:r>
        <w:t>高危操作（数据导出、权限变更）实时同步到审计日志系统</w:t>
      </w:r>
    </w:p>
    <w:p>
      <w:pPr>
        <w:pStyle w:val="ListBullet"/>
      </w:pPr>
      <w:r>
        <w:t>审计日志只读存储，禁止应用直接修改</w:t>
      </w:r>
    </w:p>
    <w:p>
      <w:pPr>
        <w:pStyle w:val="ListBullet"/>
      </w:pPr>
      <w:r>
        <w:t>租户管理员可查看本校审计日志，平台管理员可跨校查询</w:t>
      </w:r>
    </w:p>
    <w:p>
      <w:pPr>
        <w:pStyle w:val="Heading1"/>
      </w:pPr>
      <w:r>
        <w:t>八、私有化部署模式</w:t>
      </w:r>
    </w:p>
    <w:p>
      <w:pPr>
        <w:pStyle w:val="Heading2"/>
      </w:pPr>
      <w:r>
        <w:t>8.1 单学校私有部署架构</w:t>
      </w:r>
    </w:p>
    <w:p>
      <w:r>
        <w:t>部署架构：</w:t>
      </w:r>
    </w:p>
    <w:p>
      <w:pPr>
        <w:pStyle w:val="ListBullet"/>
      </w:pPr>
      <w:r>
        <w:t>All-in-One部署：数据库、应用、缓存打包部署，适用于500人以下规模</w:t>
      </w:r>
    </w:p>
    <w:p>
      <w:pPr>
        <w:pStyle w:val="ListBullet"/>
      </w:pPr>
      <w:r>
        <w:t>分离部署：Web服务器、应用集群、数据库集群分离，弹性扩展</w:t>
      </w:r>
    </w:p>
    <w:p>
      <w:pPr>
        <w:pStyle w:val="ListBullet"/>
      </w:pPr>
      <w:r>
        <w:t>容器化部署：Kubernetes编排，支持高可用和快速扩容</w:t>
      </w:r>
    </w:p>
    <w:p/>
    <w:p>
      <w:r>
        <w:rPr>
          <w:b/>
        </w:rPr>
        <w:t>网络拓扑：</w:t>
      </w:r>
      <w:r>
        <w:br/>
        <w:t>学校内网环境部署，通过防火墙控制访问；对外提供单一入口域名；数据库置于内网隔离区（DMZ）。</w:t>
      </w:r>
    </w:p>
    <w:p>
      <w:pPr>
        <w:pStyle w:val="Heading2"/>
      </w:pPr>
      <w:r>
        <w:t>8.2 混合部署方案</w:t>
      </w:r>
    </w:p>
    <w:p>
      <w:r>
        <w:t>针对敏感数据本地化的需求，提供混合部署方案：</w:t>
      </w:r>
    </w:p>
    <w:p>
      <w:pPr>
        <w:pStyle w:val="ListBullet"/>
      </w:pPr>
      <w:r>
        <w:t>本地节点：部署在学校机房，运行敏感数据处理模块（测评原始数据、档案）</w:t>
      </w:r>
    </w:p>
    <w:p>
      <w:pPr>
        <w:pStyle w:val="ListBullet"/>
      </w:pPr>
      <w:r>
        <w:t>云端节点：部署在公有云，运行非敏感模块（系统配置、统计报表）</w:t>
      </w:r>
    </w:p>
    <w:p>
      <w:pPr>
        <w:pStyle w:val="ListBullet"/>
      </w:pPr>
      <w:r>
        <w:t>数据同步：本地与云端通过加密通道同步，同步内容经过脱敏处理</w:t>
      </w:r>
    </w:p>
    <w:p>
      <w:pPr>
        <w:pStyle w:val="ListBullet"/>
      </w:pPr>
      <w:r>
        <w:t>统一管理：云端控制台管理所有节点，支持远程运维</w:t>
      </w:r>
    </w:p>
    <w:p>
      <w:pPr>
        <w:pStyle w:val="Heading1"/>
      </w:pPr>
      <w:r>
        <w:t>九、运维隔离</w:t>
      </w:r>
    </w:p>
    <w:p>
      <w:pPr>
        <w:pStyle w:val="Heading2"/>
      </w:pPr>
      <w:r>
        <w:t>9.1 租户级别监控</w:t>
      </w:r>
    </w:p>
    <w:p>
      <w:r>
        <w:t>监控指标体系：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监控维度</w:t>
            </w:r>
          </w:p>
        </w:tc>
        <w:tc>
          <w:tcPr>
            <w:tcW w:type="dxa" w:w="2880"/>
          </w:tcPr>
          <w:p>
            <w:r>
              <w:t>指标项</w:t>
            </w:r>
          </w:p>
        </w:tc>
        <w:tc>
          <w:tcPr>
            <w:tcW w:type="dxa" w:w="2880"/>
          </w:tcPr>
          <w:p>
            <w:r>
              <w:t>告警阈值</w:t>
            </w:r>
          </w:p>
        </w:tc>
      </w:tr>
      <w:tr>
        <w:tc>
          <w:tcPr>
            <w:tcW w:type="dxa" w:w="2880"/>
          </w:tcPr>
          <w:p>
            <w:r>
              <w:t>业务指标</w:t>
            </w:r>
          </w:p>
        </w:tc>
        <w:tc>
          <w:tcPr>
            <w:tcW w:type="dxa" w:w="2880"/>
          </w:tcPr>
          <w:p>
            <w:r>
              <w:t>日活跃用户、测评完成率</w:t>
            </w:r>
          </w:p>
        </w:tc>
        <w:tc>
          <w:tcPr>
            <w:tcW w:type="dxa" w:w="2880"/>
          </w:tcPr>
          <w:p>
            <w:r>
              <w:t>较昨日下降20%</w:t>
            </w:r>
          </w:p>
        </w:tc>
      </w:tr>
      <w:tr>
        <w:tc>
          <w:tcPr>
            <w:tcW w:type="dxa" w:w="2880"/>
          </w:tcPr>
          <w:p>
            <w:r>
              <w:t>性能指标</w:t>
            </w:r>
          </w:p>
        </w:tc>
        <w:tc>
          <w:tcPr>
            <w:tcW w:type="dxa" w:w="2880"/>
          </w:tcPr>
          <w:p>
            <w:r>
              <w:t>API响应时间、数据库QPS</w:t>
            </w:r>
          </w:p>
        </w:tc>
        <w:tc>
          <w:tcPr>
            <w:tcW w:type="dxa" w:w="2880"/>
          </w:tcPr>
          <w:p>
            <w:r>
              <w:t>P99&gt;2s</w:t>
            </w:r>
          </w:p>
        </w:tc>
      </w:tr>
      <w:tr>
        <w:tc>
          <w:tcPr>
            <w:tcW w:type="dxa" w:w="2880"/>
          </w:tcPr>
          <w:p>
            <w:r>
              <w:t>资源指标</w:t>
            </w:r>
          </w:p>
        </w:tc>
        <w:tc>
          <w:tcPr>
            <w:tcW w:type="dxa" w:w="2880"/>
          </w:tcPr>
          <w:p>
            <w:r>
              <w:t>CPU/内存使用率、存储空间</w:t>
            </w:r>
          </w:p>
        </w:tc>
        <w:tc>
          <w:tcPr>
            <w:tcW w:type="dxa" w:w="2880"/>
          </w:tcPr>
          <w:p>
            <w:r>
              <w:t>使用率&gt;80%</w:t>
            </w:r>
          </w:p>
        </w:tc>
      </w:tr>
      <w:tr>
        <w:tc>
          <w:tcPr>
            <w:tcW w:type="dxa" w:w="2880"/>
          </w:tcPr>
          <w:p>
            <w:r>
              <w:t>安全指标</w:t>
            </w:r>
          </w:p>
        </w:tc>
        <w:tc>
          <w:tcPr>
            <w:tcW w:type="dxa" w:w="2880"/>
          </w:tcPr>
          <w:p>
            <w:r>
              <w:t>认证失败率、异常访问</w:t>
            </w:r>
          </w:p>
        </w:tc>
        <w:tc>
          <w:tcPr>
            <w:tcW w:type="dxa" w:w="2880"/>
          </w:tcPr>
          <w:p>
            <w:r>
              <w:t>失败率&gt;5%</w:t>
            </w:r>
          </w:p>
        </w:tc>
      </w:tr>
    </w:tbl>
    <w:p>
      <w:pPr>
        <w:pStyle w:val="Heading2"/>
      </w:pPr>
      <w:r>
        <w:t>9.2 故障隔离机制</w:t>
      </w:r>
    </w:p>
    <w:p>
      <w:r>
        <w:t>故障隔离策略：</w:t>
      </w:r>
    </w:p>
    <w:p>
      <w:pPr>
        <w:pStyle w:val="ListBullet"/>
      </w:pPr>
      <w:r>
        <w:t>实例级隔离：每个租户优先调度到独立应用实例，避免资源争用</w:t>
      </w:r>
    </w:p>
    <w:p>
      <w:pPr>
        <w:pStyle w:val="ListBullet"/>
      </w:pPr>
      <w:r>
        <w:t>熔断机制：租户级API错误率超过阈值时自动熔断，隔离故障</w:t>
      </w:r>
    </w:p>
    <w:p>
      <w:pPr>
        <w:pStyle w:val="ListBullet"/>
      </w:pPr>
      <w:r>
        <w:t>流量切换：主节点故障时自动切换到备用节点，对用户无感知</w:t>
      </w:r>
    </w:p>
    <w:p>
      <w:pPr>
        <w:pStyle w:val="ListBullet"/>
      </w:pPr>
      <w:r>
        <w:t>数据备份：每4小时增量备份，每天全量备份，支持任意时间点恢复</w:t>
      </w:r>
    </w:p>
    <w:p>
      <w:pPr>
        <w:pStyle w:val="Heading2"/>
      </w:pPr>
      <w:r>
        <w:t>9.3 灰度发布策略</w:t>
      </w:r>
    </w:p>
    <w:p>
      <w:r>
        <w:t>发布策略：</w:t>
      </w:r>
    </w:p>
    <w:p>
      <w:pPr>
        <w:pStyle w:val="ListBullet"/>
      </w:pPr>
      <w:r>
        <w:t>租户维度灰度：按租户ID哈希决定是否启用新版本，支持精确到单个租户</w:t>
      </w:r>
    </w:p>
    <w:p>
      <w:pPr>
        <w:pStyle w:val="ListBullet"/>
      </w:pPr>
      <w:r>
        <w:t>功能开关：每个功能特性独立开关，可按租户配置启用</w:t>
      </w:r>
    </w:p>
    <w:p>
      <w:pPr>
        <w:pStyle w:val="ListBullet"/>
      </w:pPr>
      <w:r>
        <w:t>A/B测试：支持同一租户内部分用户体验新版本，收集反馈</w:t>
      </w:r>
    </w:p>
    <w:p>
      <w:pPr>
        <w:pStyle w:val="ListBullet"/>
      </w:pPr>
      <w:r>
        <w:t>回滚机制：新版本问题可在5分钟内一键回滚到上一个稳定版本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