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/>
        <w:spacing w:before="920" w:after="0" w:line="240" w:lineRule="auto"/>
        <w:ind w:left="0" w:right="0" w:firstLine="0"/>
        <w:jc w:val="center"/>
      </w:pPr>
      <w:r>
        <w:rPr>
          <w:rFonts w:hint="eastAsia" w:ascii="Aptos" w:eastAsia="Microsoft YaHei" w:hAnsi="Aptos"/>
          <w:b w:val="0"/>
          <w:bCs/>
          <w:color w:val="486581"/>
          <w:sz w:val="26"/>
        </w:rPr>
        <w:t>三峡大学 · 计算机与信息学院</w:t>
      </w:r>
    </w:p>
    <w:p>
      <w:pPr>
        <w:keepNext/>
        <w:spacing w:before="1220" w:after="200" w:line="240" w:lineRule="auto"/>
        <w:ind w:left="0" w:right="0" w:firstLine="0"/>
        <w:jc w:val="center"/>
      </w:pPr>
      <w:r>
        <w:rPr>
          <w:rFonts w:hint="eastAsia" w:ascii="Aptos" w:eastAsia="Microsoft YaHei" w:hAnsi="Aptos"/>
          <w:b w:val="0"/>
          <w:bCs/>
          <w:color w:val="17365D"/>
          <w:sz w:val="54"/>
          <w:szCs w:val="22"/>
        </w:rPr>
        <w:t>个人编程技能与 Git 操作</w:t>
      </w:r>
    </w:p>
    <w:p>
      <w:pPr>
        <w:keepNext/>
        <w:spacing w:before="0" w:after="180" w:line="240" w:lineRule="auto"/>
        <w:jc w:val="center"/>
      </w:pPr>
      <w:r>
        <w:rPr>
          <w:rFonts w:ascii="Aptos" w:hAnsi="Aptos" w:eastAsia="Microsoft YaHei"/>
          <w:b/>
          <w:color w:val="2C7A7B"/>
          <w:sz w:val="24"/>
        </w:rPr>
        <w:t>软件工程实验一  ·  课程实验报告</w:t>
      </w:r>
    </w:p>
    <w:p>
      <w:pPr>
        <w:keepNext/>
        <w:spacing w:before="0" w:after="0" w:line="240" w:lineRule="auto"/>
        <w:jc w:val="center"/>
      </w:pPr>
      <w:r>
        <w:rPr>
          <w:rFonts w:ascii="Aptos" w:hAnsi="Aptos" w:eastAsia="Microsoft YaHei"/>
          <w:b w:val="0"/>
          <w:color w:val="486581"/>
          <w:sz w:val="28"/>
        </w:rPr>
        <w:t>HJ212-2017 报文解析器设计与验证</w:t>
      </w:r>
    </w:p>
    <w:p>
      <w:pPr>
        <w:spacing w:before="980" w:after="0"/>
      </w:pPr>
    </w:p>
    <w:tbl>
      <w:tblPr>
        <w:tblStyle w:val="9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1181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  <w:shd w:fill="EAF1F7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b/>
                <w:color w:val="243B53"/>
                <w:sz w:val="21"/>
              </w:rPr>
              <w:t>姓  名</w:t>
            </w:r>
          </w:p>
        </w:tc>
        <w:tc>
          <w:tcPr>
            <w:tcW w:type="dxa" w:w="2851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color w:val="243B53"/>
                <w:sz w:val="21"/>
              </w:rPr>
              <w:t>钱锐</w:t>
            </w:r>
          </w:p>
        </w:tc>
        <w:tc>
          <w:tcPr>
            <w:tcW w:type="dxa" w:w="1181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  <w:shd w:fill="EAF1F7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b/>
                <w:color w:val="243B53"/>
                <w:sz w:val="21"/>
              </w:rPr>
              <w:t>学  号</w:t>
            </w:r>
          </w:p>
        </w:tc>
        <w:tc>
          <w:tcPr>
            <w:tcW w:type="dxa" w:w="3096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color w:val="243B53"/>
                <w:sz w:val="21"/>
              </w:rPr>
              <w:t>202380010733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  <w:shd w:fill="EAF1F7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b/>
                <w:color w:val="243B53"/>
                <w:sz w:val="21"/>
              </w:rPr>
              <w:t>院  系</w:t>
            </w:r>
          </w:p>
        </w:tc>
        <w:tc>
          <w:tcPr>
            <w:tcW w:type="dxa" w:w="2851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color w:val="243B53"/>
                <w:sz w:val="21"/>
              </w:rPr>
              <w:t>计算机与信息学院</w:t>
            </w:r>
          </w:p>
        </w:tc>
        <w:tc>
          <w:tcPr>
            <w:tcW w:type="dxa" w:w="1181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  <w:shd w:fill="EAF1F7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b/>
                <w:color w:val="243B53"/>
                <w:sz w:val="21"/>
              </w:rPr>
              <w:t>专  业</w:t>
            </w:r>
          </w:p>
        </w:tc>
        <w:tc>
          <w:tcPr>
            <w:tcW w:type="dxa" w:w="3096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color w:val="243B53"/>
                <w:sz w:val="21"/>
              </w:rPr>
              <w:t>计算机科学与技术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  <w:shd w:fill="EAF1F7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b/>
                <w:color w:val="243B53"/>
                <w:sz w:val="21"/>
              </w:rPr>
              <w:t>实验室</w:t>
            </w:r>
          </w:p>
        </w:tc>
        <w:tc>
          <w:tcPr>
            <w:tcW w:type="dxa" w:w="2851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color w:val="243B53"/>
                <w:sz w:val="21"/>
              </w:rPr>
            </w:r>
          </w:p>
        </w:tc>
        <w:tc>
          <w:tcPr>
            <w:tcW w:type="dxa" w:w="1181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  <w:shd w:fill="EAF1F7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b/>
                <w:color w:val="243B53"/>
                <w:sz w:val="21"/>
              </w:rPr>
              <w:t>实验日期</w:t>
            </w:r>
          </w:p>
        </w:tc>
        <w:tc>
          <w:tcPr>
            <w:tcW w:type="dxa" w:w="3096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color w:val="243B53"/>
                <w:sz w:val="21"/>
              </w:rPr>
              <w:t>2026年10月5日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  <w:shd w:fill="EAF1F7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b/>
                <w:color w:val="243B53"/>
                <w:sz w:val="21"/>
              </w:rPr>
              <w:t>总评成绩</w:t>
            </w:r>
          </w:p>
        </w:tc>
        <w:tc>
          <w:tcPr>
            <w:tcW w:type="dxa" w:w="2851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color w:val="243B53"/>
                <w:sz w:val="21"/>
              </w:rPr>
            </w:r>
          </w:p>
        </w:tc>
        <w:tc>
          <w:tcPr>
            <w:tcW w:type="dxa" w:w="1181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  <w:shd w:fill="EAF1F7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b/>
                <w:color w:val="243B53"/>
                <w:sz w:val="21"/>
              </w:rPr>
              <w:t>审阅教师</w:t>
            </w:r>
          </w:p>
        </w:tc>
        <w:tc>
          <w:tcPr>
            <w:tcW w:type="dxa" w:w="3096"/>
            <w:vAlign w:val="center"/>
            <w:tcMar>
              <w:top w:w="115" w:type="dxa"/>
              <w:bottom w:w="115" w:type="dxa"/>
              <w:left w:w="115" w:type="dxa"/>
              <w:right w:w="115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color w:val="243B53"/>
                <w:sz w:val="21"/>
              </w:rPr>
            </w:r>
          </w:p>
        </w:tc>
      </w:tr>
    </w:tbl>
    <w:p>
      <w:pPr>
        <w:spacing w:before="0" w:after="0"/>
      </w:pPr>
    </w:p>
    <w:p>
      <w:pPr>
        <w:pStyle w:val="3"/>
        <w:keepNext/>
        <w:pageBreakBefore/>
        <w:spacing w:before="200" w:after="8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一、实验目的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理解 Git 对个人源代码的版本管理作用，掌握本地仓库与远程仓库之间的基本协作流程。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以 Python 实现 HJ212-2017 报文解析器，练习协议边界校验、CRC16、键值数据解析和监测因子提取。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结合公开信理解高质量软件需要在需求、设计、编码、验证和维护的全过程中持续保障。</w:t>
      </w:r>
    </w:p>
    <w:p>
      <w:pPr>
        <w:pStyle w:val="3"/>
        <w:keepNext/>
        <w:spacing w:before="200" w:after="8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二、实验环境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编程语言：Python 3；版本管理：Git；代码托管：GitHub 公开仓库；依赖：Python 标准库。</w:t>
      </w:r>
    </w:p>
    <w:p>
      <w:pPr>
        <w:pStyle w:val="3"/>
        <w:keepNext/>
        <w:spacing w:before="200" w:after="8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三、实验要求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1. 建立个人代码仓库，按有意义的阶段提交源代码、实验说明和检查记录。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2. 独立完成编程任务；利用 AI 辅助梳理协议结构和实现思路，并对生成建议进行人工核对。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3. 实现报文格式合法性验证、ANSI CRC16 校验、数据段结构化解析及 CP 监测数据提取。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4. 参照模板完成实验报告，并将源代码、回归用例和报告提交到 GitHub 公开仓库。</w:t>
      </w:r>
    </w:p>
    <w:p>
      <w:pPr>
        <w:pStyle w:val="3"/>
        <w:keepNext/>
        <w:spacing w:before="200" w:after="8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四、实验内容</w:t>
      </w:r>
    </w:p>
    <w:p>
      <w:pPr>
        <w:pStyle w:val="3"/>
        <w:keepNext/>
        <w:spacing w:before="140" w:after="4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（一）Git 基本操作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Git 将代码变更记录为可追溯的提交。本实验已创建 GitHub 公开仓库，默认分支为 main，并开启 Python .gitignore 与 README。日常工作流为检查状态、暂存变更、提交并推送；提交说明写明改动目的，开始修改前同步远程变更，推送前检查状态和提交记录。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git init ； git status ； git add &lt;文件&gt; ； git commit -m "feat: 添加HJ212报文解析" ； git remote add origin &lt;仓库URL&gt; ； git push -u origin &lt;默认分支&gt;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克隆已有仓库时先执行 git clone &lt;仓库URL&gt;；开始修改前用 git pull 同步远程变更，推送前用 git status 和 git log 检查提交内容。远程分支名以仓库实际默认分支为准。</w:t>
      </w:r>
    </w:p>
    <w:p>
      <w:pPr>
        <w:pStyle w:val="3"/>
        <w:keepNext/>
        <w:spacing w:before="140" w:after="4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（二）HJ212-2017 报文解析器</w:t>
      </w:r>
    </w:p>
    <w:p>
      <w:pPr>
        <w:pStyle w:val="3"/>
        <w:keepNext/>
        <w:spacing w:before="140" w:after="4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1. 报文结构与解析边界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按实验说明，完整报文由固定包头“##”、4 位十进制数据段长度、数据段、4 位十六进制 CRC 和回车换行组成。长度只统计数据段字符；CRC 针对数据段计算，不包含包头、长度字段、CRC 本身和结束符。校验通过后再进入字段解析，避免将损坏报文当成有效业务数据。</w:t>
      </w:r>
    </w:p>
    <w:p>
      <w:pPr>
        <w:pStyle w:val="3"/>
        <w:keepNext/>
        <w:spacing w:before="140" w:after="4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2. CRC16 校验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CRC16 按 HJ212-2017 附录 A 处理 ASCII 数据段：寄存器初值为 0xFFFF；每个字节先与寄存器高字节异或，即 crc = (crc &gt;&gt; 8) ^ byte，再执行 8 轮最低位右移，最低位为 1 时与多项式 0xA001 异或。结果格式化为 4 位十六进制字符串后与报文校验字段比较。实现时须统一大小写，并确保长度统计与 CRC 输入使用同一份数据段。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关键步骤示意：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crc = 0xFFFF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for byte in data_segment.encode("ascii"):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 xml:space="preserve">    crc = (crc &gt;&gt; 8) ^ byte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 xml:space="preserve">    repeat 8 times: crc = (crc &gt;&gt; 1) ^ 0xA001 if crc &amp; 1 else crc &gt;&gt; 1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return f"{crc:04X}"</w:t>
      </w:r>
    </w:p>
    <w:p>
      <w:pPr>
        <w:pStyle w:val="3"/>
        <w:keepNext/>
        <w:spacing w:before="140" w:after="4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3. 四个核心接口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is_valid_message(message)：检查包头、总长度、4 位十进制长度、4 位十六进制 CRC、CRLF 结束符以及声明长度与实际数据段长度是否一致；再调用 CRC 校验。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validate_crc(message)：从结构正确的报文中提取数据段和 CRC 字段，重算 CRC 并比较。格式错误应返回失败或抛出明确异常，不能默认为通过。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parse_data_segment(message)：按分号解析外层字段，但在 CP=&amp;&amp;...&amp;&amp; 的配对边界内保留其完整内容，不能把 CP 内部的分号当作外层分隔符；普通字段按第一个等号分成键和值，保留值中的后续等号。对缺少等号和重复键明确处理。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extract_monitoring_data(message)：从 CP=&amp;&amp;...&amp;&amp; 中取出数据体，按项目分号和同一项目内的逗号解析监测项，再识别形如 w01001-Avg=7.5 的键，将因子编码、数据类型和值组织为结构化结果。未匹配的普通参数不误识别为监测因子。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数据段示例：QN=20160801085857223;ST=32;CN=2061;PW=123456;MN=010000A8900016F000169DC0;Flag=5;CP=&amp;&amp;DataTime=20160801080000;w01001-Avg=7.5;w01018-Avg=40.1&amp;&amp;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解析要点：外层结果保留 QN、ST、CN、PW、MN、Flag 和完整 CP 字符串；监测项提取结果为 [(w01001, Avg, 7.5), (w01018, Avg, 40.1)]。此处为数据段解析示例，不代表完整帧校验结果。</w:t>
      </w:r>
    </w:p>
    <w:p>
      <w:pPr>
        <w:pStyle w:val="3"/>
        <w:keepNext/>
        <w:spacing w:before="140" w:after="4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4. 检查用例设计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检查设计覆盖合法路径和边界错误。下列输入变化与预期现象可作为回归检查依据。</w:t>
      </w:r>
    </w:p>
    <w:tbl>
      <w:tblPr>
        <w:tblStyle w:val="9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/>
          <w:cantSplit/>
        </w:trPr>
        <w:tc>
          <w:tcPr>
            <w:tcW w:type="dxa" w:w="2131"/>
            <w:vAlign w:val="center"/>
            <w:shd w:fill="1F4E78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20" w:after="2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880"/>
            <w:vAlign w:val="center"/>
            <w:shd w:fill="1F4E78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20" w:after="2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输入变化</w:t>
            </w:r>
          </w:p>
        </w:tc>
        <w:tc>
          <w:tcPr>
            <w:tcW w:type="dxa" w:w="3298"/>
            <w:vAlign w:val="center"/>
            <w:shd w:fill="1F4E78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20" w:after="2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预期结果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HJ212-2017附录A样例帧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标准样例长度0101、CRC=1C80、CRLF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格式和CRC通过；校验码应为1C80，并解析返回数据段字段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长度不符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修改4位长度但不改正文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格式检查失败，不解析业务字段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CRC错误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翻转CRC字段一位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格式可识别但CRC校验失败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结束符缺失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删除CRLF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完整报文校验失败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非法字段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字段项不含等号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解析报错或将该项列入错误信息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CP含标准监测项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含w01001-Avg与w01018-Avg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提取(w01001, Avg, 7.5)等结构化监测项</w:t>
            </w:r>
          </w:p>
        </w:tc>
      </w:tr>
    </w:tbl>
    <w:p>
      <w:pPr>
        <w:pStyle w:val="3"/>
        <w:keepNext/>
        <w:spacing w:before="140" w:after="4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5. 复杂度与边界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设数据段长度为 n，帧结构校验和字段解析均为 O(n)；CRC 每个字节固定执行 8 轮，时间复杂度仍为 O(n)，额外空间为 O(k)，k 为解析后字段数量。单帧解析不等同于完整 TCP 流拆包；生产场景还需处理粘包、拆包、超长输入、非 ASCII 字节、重复字段策略以及连接缓冲区。</w:t>
      </w:r>
    </w:p>
    <w:p>
      <w:pPr>
        <w:pStyle w:val="3"/>
        <w:keepNext/>
        <w:spacing w:before="140" w:after="4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6. 实际验证记录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在 Python 3.14.3 环境执行 python -m unittest -v，11 项自动化回归用例全部通过。用例包含 HJ212-2017 附录 A 官方 CRC 向量（计算值 1C80）、标准完整帧、头部/长度/结束符/CRC/十六进制字段异常、CP 监测项解析、非法与重复键、非 ASCII 和超长输入，以及 CRC 错误时拒绝解析。另以示例报文确认提取到 w01001 的 Avg=7.5、Min=7.1 和 w01018 的 Avg=40.1。</w:t>
      </w:r>
    </w:p>
    <w:p>
      <w:pPr>
        <w:pStyle w:val="3"/>
        <w:keepNext/>
        <w:spacing w:before="140" w:after="4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（三）阅读任正非公开信后的体会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公开信把“可信”放在功能、特性和进度之前，强调产品质量不仅是交付后的表现，也取决于开发过程是否可验证。我理解这要求工程师不能把“能运行”当作完成：需求边界要明确，设计要能解释，代码要易读、健壮，变更应可追溯，验证结果要能复现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这与本次报文解析练习直接相关。若只按正常样例切字符串，长度被篡改、CRC 不匹配或 CP 字段缺失时就可能产生错误数据。先校验帧边界和 CRC，再解析字段，是把质量要求落实到代码顺序中的一个小例子。明确错误行为、保留原始字段、对异常输入给出可诊断结果，也能让后续维护者更容易判断问题。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信中关于从基础编码质量做起的观点提醒我，简洁并不意味着省略校验；好的实现应让规则清楚、边界清楚、结果可检查。Git 提交记录则把代码演进留下证据，使修改原因和影响可以回看。今后写课程项目时，我会把测试、代码评审和提交说明作为开发过程的一部分，而不是最后补文档。</w:t>
      </w:r>
    </w:p>
    <w:p>
      <w:pPr>
        <w:pStyle w:val="3"/>
        <w:keepNext/>
        <w:spacing w:before="200" w:after="8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五、实验结论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本实验围绕 Git 基本操作、HJ212-2017 单帧报文解析和软件工程质量意识展开。通过把解析流程拆分为帧校验、CRC 计算、数据段解析和监测数据提取，可以降低各步骤之间的耦合，并让错误更容易定位。检查用例覆盖长度、CRC、结束符和数据字段等主要边界，可作为后续回归检查的依据。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个人总结：需要补强的不只是算法实现，还包括将协议规则转换为明确的输入约束、记录可复现的验证过程，以及保持提交历史清晰。本次实现将协议边界、CRC 校验和字段解析分层处理，并通过 11 项回归用例验证主要路径和异常输入。</w:t>
      </w:r>
    </w:p>
    <w:p>
      <w:pPr>
        <w:pStyle w:val="3"/>
        <w:keepNext/>
        <w:spacing w:before="200" w:after="8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六、仓库地址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60" w:afterAutospacing="0" w:line="259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GitHub 公开仓库地址：https://github.com/qianrui1006/202380010733-software-engineering-lab1</w:t>
      </w:r>
    </w:p>
    <w:p>
      <w:pPr>
        <w:pStyle w:val="3"/>
        <w:keepNext/>
        <w:spacing w:before="200" w:after="8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参考资料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0" w:lineRule="auto"/>
        <w:ind w:left="259" w:leftChars="0" w:right="0" w:rightChars="0" w:hanging="259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19"/>
        </w:rPr>
        <w:t>[1] 星语课程网：《软件工程实验一：个人编程技能和git操作》，https://star.jmhui.com.cn/p1/366.html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0" w:lineRule="auto"/>
        <w:ind w:left="259" w:leftChars="0" w:right="0" w:rightChars="0" w:hanging="259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19"/>
        </w:rPr>
        <w:t>[2] 星语课程网：《实验报告模板》，https://star.jmhui.com.cn/u/cms/www/202203/06163639qy7y.docx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0" w:lineRule="auto"/>
        <w:ind w:left="259" w:leftChars="0" w:right="0" w:rightChars="0" w:hanging="259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19"/>
        </w:rPr>
        <w:t>[3] 环境保护部：《污染物在线监控（监测）系统数据传输标准》（HJ 212-2017），通讯结构见6.3节，CRC算法见附录A，https://big5.mee.gov.cn/gate/big5/www.mee.gov.cn/ywgz/fgbz/bz/bzwb/other/qt/201706/W020220223593176860729.pdf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0" w:lineRule="auto"/>
        <w:ind w:left="259" w:leftChars="0" w:right="0" w:rightChars="0" w:hanging="259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19"/>
        </w:rPr>
        <w:t>[4] 任正非：《全面提升软件工程能力与实践，打造可信的高质量产品》，华为公开信，2019。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楷体_GB2312">
    <w:altName w:val="楷体"/>
    <w:panose1 w:val="00000000000000000000"/>
    <w:charset w:val="86"/>
    <w:family w:val="swiss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6D14C3"/>
    <w:multiLevelType w:val="singleLevel"/>
    <w:tmpl w:val="C36D14C3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01D5C2C3"/>
    <w:multiLevelType w:val="singleLevel"/>
    <w:tmpl w:val="01D5C2C3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43A6"/>
    <w:rsid w:val="00071170"/>
    <w:rsid w:val="00155608"/>
    <w:rsid w:val="00202576"/>
    <w:rsid w:val="0024002F"/>
    <w:rsid w:val="002D7F05"/>
    <w:rsid w:val="00335578"/>
    <w:rsid w:val="00352D4B"/>
    <w:rsid w:val="0035628E"/>
    <w:rsid w:val="003F749B"/>
    <w:rsid w:val="00432794"/>
    <w:rsid w:val="004D4EDB"/>
    <w:rsid w:val="004F22DC"/>
    <w:rsid w:val="00571C7F"/>
    <w:rsid w:val="00586C97"/>
    <w:rsid w:val="005B275D"/>
    <w:rsid w:val="006106FE"/>
    <w:rsid w:val="00697A91"/>
    <w:rsid w:val="006A6853"/>
    <w:rsid w:val="006B5A82"/>
    <w:rsid w:val="00703948"/>
    <w:rsid w:val="007A582A"/>
    <w:rsid w:val="007B4FBE"/>
    <w:rsid w:val="008565EF"/>
    <w:rsid w:val="008C016D"/>
    <w:rsid w:val="008C7D2E"/>
    <w:rsid w:val="008F16C8"/>
    <w:rsid w:val="00900236"/>
    <w:rsid w:val="00904B5C"/>
    <w:rsid w:val="0096050A"/>
    <w:rsid w:val="00977F38"/>
    <w:rsid w:val="009B2642"/>
    <w:rsid w:val="009F4CFC"/>
    <w:rsid w:val="00A1485B"/>
    <w:rsid w:val="00AF14B2"/>
    <w:rsid w:val="00B05B0E"/>
    <w:rsid w:val="00B156C5"/>
    <w:rsid w:val="00B443A6"/>
    <w:rsid w:val="00B64856"/>
    <w:rsid w:val="00BF28C2"/>
    <w:rsid w:val="00C235E7"/>
    <w:rsid w:val="00D2043D"/>
    <w:rsid w:val="00D32573"/>
    <w:rsid w:val="00D72B83"/>
    <w:rsid w:val="00D80049"/>
    <w:rsid w:val="00DC67B2"/>
    <w:rsid w:val="00E8071F"/>
    <w:rsid w:val="00EB0F34"/>
    <w:rsid w:val="00EB4D81"/>
    <w:rsid w:val="00F054CE"/>
    <w:rsid w:val="00F72625"/>
    <w:rsid w:val="00F869C9"/>
    <w:rsid w:val="00F926E7"/>
    <w:rsid w:val="00FC7D68"/>
    <w:rsid w:val="02486FAA"/>
    <w:rsid w:val="04A82B96"/>
    <w:rsid w:val="0D9D5047"/>
    <w:rsid w:val="0DB708F3"/>
    <w:rsid w:val="13F359A7"/>
    <w:rsid w:val="1F097329"/>
    <w:rsid w:val="22AD1C05"/>
    <w:rsid w:val="2C875276"/>
    <w:rsid w:val="2E8A5CE6"/>
    <w:rsid w:val="2ED466F4"/>
    <w:rsid w:val="3BC43787"/>
    <w:rsid w:val="4305460B"/>
    <w:rsid w:val="465B73D2"/>
    <w:rsid w:val="54DD37FA"/>
    <w:rsid w:val="590F4E71"/>
    <w:rsid w:val="59823F4B"/>
    <w:rsid w:val="6095778F"/>
    <w:rsid w:val="63A74CDA"/>
    <w:rsid w:val="666961FA"/>
    <w:rsid w:val="66BD0887"/>
    <w:rsid w:val="6ACA114B"/>
    <w:rsid w:val="6BC556EC"/>
    <w:rsid w:val="6D7C37E0"/>
    <w:rsid w:val="6F6D728A"/>
    <w:rsid w:val="6F8E3673"/>
    <w:rsid w:val="7C433A8B"/>
    <w:rsid w:val="7E7E7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iPriority="0" w:semiHidden="0" w:name="header"/>
    <w:lsdException w:uiPriority="0" w:semiHidden="0" w:name="footer"/>
    <w:lsdException w:uiPriority="0" w:name="index heading"/>
    <w:lsdException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nhideWhenUsed="0" w:uiPriority="0" w:semiHidden="0" w:name="Hyperlink"/>
    <w:lsdException w:uiPriority="0" w:name="FollowedHyperlink"/>
    <w:lsdException w:unhideWhenUsed="0" w:uiPriority="0" w:semiHidden="0" w:name="Strong"/>
    <w:lsdException w:unhideWhenUsed="0" w:uiPriority="0" w:semiHidden="0" w:name="Emphasis"/>
    <w:lsdException w:qFormat="1" w:unhideWhenUsed="0" w:uiPriority="0" w:name="Document Map"/>
    <w:lsdException w:uiPriority="0" w:name="Plain Text"/>
    <w:lsdException w:uiPriority="0" w:name="E-mail Signature"/>
    <w:lsdException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3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0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ocument Map"/>
    <w:basedOn w:val="1"/>
    <w:semiHidden/>
    <w:qFormat/>
    <w:uiPriority w:val="0"/>
    <w:pPr>
      <w:shd w:val="clear" w:color="auto" w:fill="000080"/>
    </w:pPr>
  </w:style>
  <w:style w:type="paragraph" w:styleId="5">
    <w:name w:val="footer"/>
    <w:basedOn w:val="1"/>
    <w:link w:val="14"/>
    <w:unhideWhenUsed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unhideWhenUsed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9">
    <w:name w:val="Table Grid"/>
    <w:basedOn w:val="8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1">
    <w:name w:val="Strong"/>
    <w:basedOn w:val="10"/>
    <w:uiPriority w:val="0"/>
    <w:rPr>
      <w:b/>
      <w:bCs/>
    </w:rPr>
  </w:style>
  <w:style w:type="character" w:styleId="12">
    <w:name w:val="Hyperlink"/>
    <w:basedOn w:val="10"/>
    <w:uiPriority w:val="0"/>
    <w:rPr>
      <w:color w:val="0000FF"/>
      <w:u w:val="single"/>
    </w:rPr>
  </w:style>
  <w:style w:type="character" w:customStyle="1" w:styleId="13">
    <w:name w:val="页眉 Char"/>
    <w:basedOn w:val="10"/>
    <w:link w:val="6"/>
    <w:uiPriority w:val="0"/>
    <w:rPr>
      <w:kern w:val="2"/>
      <w:sz w:val="18"/>
      <w:szCs w:val="18"/>
    </w:rPr>
  </w:style>
  <w:style w:type="character" w:customStyle="1" w:styleId="14">
    <w:name w:val="页脚 Char"/>
    <w:basedOn w:val="10"/>
    <w:link w:val="5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btbu</Company>
  <Pages>4</Pages>
  <Words>359</Words>
  <Characters>2049</Characters>
  <Lines>17</Lines>
  <Paragraphs>4</Paragraphs>
  <TotalTime>10</TotalTime>
  <ScaleCrop>false</ScaleCrop>
  <LinksUpToDate>false</LinksUpToDate>
  <CharactersWithSpaces>2404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2021-03-19T13:56:00Z</dcterms:created>
  <dc:creator>钱锐</dc:creator>
  <cp:lastModifiedBy>心静</cp:lastModifiedBy>
  <dcterms:modified xsi:type="dcterms:W3CDTF">2022-03-06T08:38:16Z</dcterms:modified>
  <cp:revision>3</cp:revision>
  <dc:title>软件工程实验一：个人编程技能和git操作</dc:title>
  <dc:subject>软件工程实验报告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0D6510782CC4457B98584CD4E3997BF6</vt:lpwstr>
  </property>
</Properties>
</file>