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28"/>
          <w:szCs w:val="28"/>
          <w:lang w:eastAsia="zh-CN"/>
        </w:rPr>
      </w:pPr>
      <w:r>
        <w:rPr>
          <w:rFonts w:hint="eastAsia" w:ascii="仿宋" w:hAnsi="仿宋" w:eastAsia="仿宋" w:cs="仿宋"/>
          <w:sz w:val="28"/>
          <w:szCs w:val="28"/>
          <w:lang w:eastAsia="zh-CN"/>
        </w:rPr>
        <w:t>目的：确认某项资产在各种假设条件成立下的合理价格</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资本资产定价模型是由均值方差模型推导得出的</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作者是夏普，林特纳，莫森</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资本资产定价模型运用了大量假设，实际上就是在解数学应用题：</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假设：</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①每个人都懂均值方差模型，并会按照均值方差模型行事</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②所有人对所有资产的价格或收益的概率分布保持相同的看法</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③假设每个人都能用相同的无风险利率借钱</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④假设没有交易成本</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⑤唯一可以允许不同的是每个人的风险偏好</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⑥因为每个人都懂均值方差模型，所以每个人都会使用一种风险资产和一种无风险资产来构造自己的投资组合，通过调整风险资产和无风险资产的比重，来代表不同人不同的风险偏好</w:t>
      </w:r>
    </w:p>
    <w:p>
      <w:pPr>
        <w:rPr>
          <w:rFonts w:hint="eastAsia" w:ascii="仿宋" w:hAnsi="仿宋" w:eastAsia="仿宋" w:cs="仿宋"/>
          <w:sz w:val="28"/>
          <w:szCs w:val="28"/>
          <w:lang w:eastAsia="zh-CN"/>
        </w:rPr>
      </w:pPr>
      <w:r>
        <w:rPr>
          <w:rFonts w:hint="eastAsia" w:ascii="仿宋" w:hAnsi="仿宋" w:eastAsia="仿宋" w:cs="仿宋"/>
          <w:sz w:val="28"/>
          <w:szCs w:val="28"/>
          <w:lang w:eastAsia="zh-CN"/>
        </w:rPr>
        <w:t>⑦在⑥中的风险资产必须是一种包含了整个市场组和的基金，即在这个组合中每只股票的市值比例和真实市场是一致的。</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8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刘桂君</cp:lastModifiedBy>
  <dcterms:modified xsi:type="dcterms:W3CDTF">2019-04-03T02:34:36Z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