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38D" w:rsidRDefault="00BC638D" w:rsidP="00BC638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  <w:b/>
          <w:sz w:val="36"/>
          <w:szCs w:val="32"/>
        </w:rPr>
      </w:pPr>
      <w:r>
        <w:rPr>
          <w:rFonts w:ascii="微软雅黑" w:eastAsia="微软雅黑" w:hAnsi="微软雅黑" w:cs="微软雅黑" w:hint="eastAsia"/>
          <w:b/>
          <w:sz w:val="36"/>
          <w:szCs w:val="32"/>
        </w:rPr>
        <w:tab/>
      </w:r>
    </w:p>
    <w:p w:rsidR="00BC638D" w:rsidRDefault="00BC638D" w:rsidP="00BC638D">
      <w:pPr>
        <w:spacing w:beforeLines="50" w:before="156" w:afterLines="50" w:after="156"/>
        <w:jc w:val="center"/>
        <w:rPr>
          <w:rFonts w:ascii="微软雅黑" w:eastAsia="微软雅黑" w:hAnsi="微软雅黑" w:cs="微软雅黑"/>
          <w:b/>
          <w:sz w:val="38"/>
          <w:szCs w:val="32"/>
        </w:rPr>
      </w:pPr>
      <w:r>
        <w:rPr>
          <w:rFonts w:ascii="微软雅黑" w:eastAsia="微软雅黑" w:hAnsi="微软雅黑" w:cs="微软雅黑" w:hint="eastAsia"/>
          <w:b/>
          <w:sz w:val="38"/>
          <w:szCs w:val="32"/>
        </w:rPr>
        <w:t>流程图规范说明文档</w:t>
      </w:r>
    </w:p>
    <w:p w:rsidR="00BC638D" w:rsidRDefault="00BC638D" w:rsidP="00BC638D">
      <w:pPr>
        <w:spacing w:beforeLines="50" w:before="156" w:afterLines="50" w:after="156"/>
        <w:rPr>
          <w:rFonts w:ascii="微软雅黑" w:eastAsia="微软雅黑" w:hAnsi="微软雅黑" w:cs="微软雅黑"/>
          <w:b/>
          <w:sz w:val="38"/>
          <w:szCs w:val="32"/>
        </w:rPr>
      </w:pPr>
    </w:p>
    <w:p w:rsidR="00BC638D" w:rsidRDefault="00BC638D" w:rsidP="00BC638D">
      <w:pPr>
        <w:spacing w:line="540" w:lineRule="exact"/>
        <w:ind w:firstLine="420"/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修订记录</w:t>
      </w:r>
    </w:p>
    <w:p w:rsidR="00BC638D" w:rsidRDefault="00BC638D" w:rsidP="00BC638D">
      <w:pPr>
        <w:spacing w:line="540" w:lineRule="exact"/>
        <w:ind w:firstLine="420"/>
        <w:rPr>
          <w:rFonts w:ascii="微软雅黑" w:eastAsia="微软雅黑" w:hAnsi="微软雅黑" w:cs="微软雅黑"/>
          <w:b/>
          <w:sz w:val="24"/>
        </w:rPr>
      </w:pPr>
    </w:p>
    <w:tbl>
      <w:tblPr>
        <w:tblW w:w="96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1443"/>
        <w:gridCol w:w="5078"/>
        <w:gridCol w:w="2178"/>
      </w:tblGrid>
      <w:tr w:rsidR="00BC638D" w:rsidTr="0082759B">
        <w:trPr>
          <w:cantSplit/>
          <w:jc w:val="center"/>
        </w:trPr>
        <w:tc>
          <w:tcPr>
            <w:tcW w:w="99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版本</w:t>
            </w:r>
          </w:p>
        </w:tc>
        <w:tc>
          <w:tcPr>
            <w:tcW w:w="1443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日期</w:t>
            </w:r>
          </w:p>
        </w:tc>
        <w:tc>
          <w:tcPr>
            <w:tcW w:w="50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概要</w:t>
            </w:r>
          </w:p>
        </w:tc>
        <w:tc>
          <w:tcPr>
            <w:tcW w:w="21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b/>
                <w:sz w:val="19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19"/>
                <w:szCs w:val="21"/>
              </w:rPr>
              <w:t>编写人</w:t>
            </w:r>
          </w:p>
        </w:tc>
      </w:tr>
      <w:tr w:rsidR="00BC638D" w:rsidTr="0082759B">
        <w:trPr>
          <w:cantSplit/>
          <w:trHeight w:val="220"/>
          <w:jc w:val="center"/>
        </w:trPr>
        <w:tc>
          <w:tcPr>
            <w:tcW w:w="99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V1.0</w:t>
            </w:r>
          </w:p>
        </w:tc>
        <w:tc>
          <w:tcPr>
            <w:tcW w:w="1443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2017-3-20</w:t>
            </w:r>
          </w:p>
        </w:tc>
        <w:tc>
          <w:tcPr>
            <w:tcW w:w="50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建立文档</w:t>
            </w:r>
          </w:p>
        </w:tc>
        <w:tc>
          <w:tcPr>
            <w:tcW w:w="21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蔡美忠</w:t>
            </w:r>
          </w:p>
        </w:tc>
      </w:tr>
      <w:tr w:rsidR="00BC638D" w:rsidTr="0082759B">
        <w:trPr>
          <w:cantSplit/>
          <w:trHeight w:val="220"/>
          <w:jc w:val="center"/>
        </w:trPr>
        <w:tc>
          <w:tcPr>
            <w:tcW w:w="99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V1.1</w:t>
            </w:r>
          </w:p>
        </w:tc>
        <w:tc>
          <w:tcPr>
            <w:tcW w:w="1443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2017-4-6</w:t>
            </w:r>
          </w:p>
        </w:tc>
        <w:tc>
          <w:tcPr>
            <w:tcW w:w="50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分享后文档整理</w:t>
            </w:r>
          </w:p>
        </w:tc>
        <w:tc>
          <w:tcPr>
            <w:tcW w:w="2178" w:type="dxa"/>
          </w:tcPr>
          <w:p w:rsidR="00BC638D" w:rsidRDefault="00BC638D" w:rsidP="0082759B">
            <w:pPr>
              <w:spacing w:line="540" w:lineRule="exact"/>
              <w:rPr>
                <w:rFonts w:ascii="微软雅黑" w:eastAsia="微软雅黑" w:hAnsi="微软雅黑" w:cs="微软雅黑"/>
                <w:sz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</w:rPr>
              <w:t>蔡美忠</w:t>
            </w:r>
          </w:p>
        </w:tc>
      </w:tr>
    </w:tbl>
    <w:p w:rsidR="00BC638D" w:rsidRDefault="00BC638D" w:rsidP="00BC638D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BC638D" w:rsidRDefault="00BC638D" w:rsidP="00BC638D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BC638D" w:rsidRDefault="00BC638D" w:rsidP="00BC638D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spacing w:beforeLines="100" w:before="312" w:line="360" w:lineRule="auto"/>
        <w:jc w:val="left"/>
        <w:rPr>
          <w:rFonts w:ascii="微软雅黑" w:eastAsia="微软雅黑" w:hAnsi="微软雅黑" w:cs="微软雅黑"/>
          <w:b/>
          <w:sz w:val="24"/>
        </w:rPr>
      </w:pPr>
    </w:p>
    <w:p w:rsidR="00BC638D" w:rsidRDefault="00BC638D" w:rsidP="00BC638D">
      <w:pPr>
        <w:pStyle w:val="1"/>
        <w:numPr>
          <w:ilvl w:val="0"/>
          <w:numId w:val="0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 w:val="0"/>
          <w:szCs w:val="28"/>
        </w:rPr>
        <w:br w:type="page"/>
      </w:r>
      <w:bookmarkStart w:id="0" w:name="_Toc11145"/>
      <w:bookmarkStart w:id="1" w:name="_Toc478650333"/>
      <w:r>
        <w:rPr>
          <w:rFonts w:ascii="微软雅黑" w:eastAsia="微软雅黑" w:hAnsi="微软雅黑" w:cs="微软雅黑" w:hint="eastAsia"/>
        </w:rPr>
        <w:lastRenderedPageBreak/>
        <w:t>一、流程图规范</w:t>
      </w:r>
      <w:bookmarkEnd w:id="0"/>
      <w:bookmarkEnd w:id="1"/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1、工具使用免费软件，如Diagram Designer，不得使用盗版软件，如Visio。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地址：\\172.16.0.40\temp\浏览器开发部\常用软件\免费软件\DiagramDesignerSetup1.28.</w:t>
      </w:r>
      <w:proofErr w:type="gramStart"/>
      <w:r>
        <w:rPr>
          <w:rFonts w:ascii="微软雅黑" w:eastAsia="微软雅黑" w:hAnsi="微软雅黑" w:cs="微软雅黑" w:hint="eastAsia"/>
        </w:rPr>
        <w:t>msi</w:t>
      </w:r>
      <w:proofErr w:type="gramEnd"/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排版整齐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图形、连线要垂直对齐、水平对齐。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                                 不恰当的做法：</w:t>
      </w:r>
    </w:p>
    <w:p w:rsidR="00BC638D" w:rsidRDefault="00BC638D" w:rsidP="00BC638D">
      <w:pPr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3BD48C35" wp14:editId="64139AF4">
            <wp:extent cx="2904490" cy="4923790"/>
            <wp:effectExtent l="0" t="0" r="10160" b="1016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492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F2C6A57" wp14:editId="45F8746E">
            <wp:extent cx="2742565" cy="4876165"/>
            <wp:effectExtent l="0" t="0" r="635" b="63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自上而下，从左到右排版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图形排版应该自上而下，左右基本对称。如果业务复杂，图形可以按照从左到右排版。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恰当的做法：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7F1AF46" wp14:editId="5DDDC660">
            <wp:extent cx="2066925" cy="3504565"/>
            <wp:effectExtent l="0" t="0" r="9525" b="6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 xml:space="preserve">  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01048B0" wp14:editId="2BC14C6C">
            <wp:extent cx="4190365" cy="3295015"/>
            <wp:effectExtent l="0" t="0" r="63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46752B4" wp14:editId="0ADC6F01">
            <wp:extent cx="4044950" cy="3597910"/>
            <wp:effectExtent l="0" t="0" r="12700" b="25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抓大放小原则，突出核心条件判断、逻辑</w:t>
      </w:r>
    </w:p>
    <w:p w:rsidR="00BC638D" w:rsidRDefault="00BC638D" w:rsidP="00BC638D">
      <w:pPr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流程图中只</w:t>
      </w:r>
      <w:proofErr w:type="gramStart"/>
      <w:r>
        <w:rPr>
          <w:rFonts w:ascii="微软雅黑" w:eastAsia="微软雅黑" w:hAnsi="微软雅黑" w:cs="微软雅黑" w:hint="eastAsia"/>
        </w:rPr>
        <w:t>画关键</w:t>
      </w:r>
      <w:proofErr w:type="gramEnd"/>
      <w:r>
        <w:rPr>
          <w:rFonts w:ascii="微软雅黑" w:eastAsia="微软雅黑" w:hAnsi="微软雅黑" w:cs="微软雅黑" w:hint="eastAsia"/>
        </w:rPr>
        <w:t>逻辑，不重要的细节不需要体现出来。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9B67739" wp14:editId="78089D98">
            <wp:extent cx="6187440" cy="4745355"/>
            <wp:effectExtent l="0" t="0" r="3810" b="1714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复杂流程图，可先整体再局部，分开绘制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对于复杂图形，应该分层绘制，不要在一个流程图中绘制所有逻辑，太复杂不容易理解。应该对较为独立的部分先做整体封装，再单独以绘制该独立部分的流程图。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74EABF41" wp14:editId="6CB827A2">
            <wp:extent cx="6171565" cy="4538345"/>
            <wp:effectExtent l="0" t="0" r="635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4538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3CF8A14" wp14:editId="5BF108AA">
            <wp:extent cx="6188075" cy="3418840"/>
            <wp:effectExtent l="0" t="0" r="3175" b="1016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单个模块只有一个开始、结束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单个模块只有一个开始和结束，不允许出现多个。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B838F11" wp14:editId="711459D6">
            <wp:extent cx="1038860" cy="3536950"/>
            <wp:effectExtent l="0" t="0" r="8890" b="635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3886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5B7141E9" wp14:editId="22FA7DE2">
            <wp:extent cx="1445895" cy="2938780"/>
            <wp:effectExtent l="0" t="0" r="1905" b="1397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连线之间不允许交叉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实线、虚线之间都不能出现交叉的情况，容易引发误解。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0C6C5259" wp14:editId="329FC7E5">
            <wp:extent cx="2761615" cy="4971415"/>
            <wp:effectExtent l="0" t="0" r="635" b="63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6E82C005" wp14:editId="290D8185">
            <wp:extent cx="3075940" cy="4695190"/>
            <wp:effectExtent l="0" t="0" r="10160" b="1016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同步操作使用实线，异步操作使用虚线，都是单向箭头连线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同步流程之间用实线连接，异步流程之间用虚线连接，便于区分和理解。连线是单向箭头，明确顺序。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3FE33722" wp14:editId="0AC6DEBC">
            <wp:extent cx="3285490" cy="4638040"/>
            <wp:effectExtent l="0" t="0" r="10160" b="1016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63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注意不同类型图形大小关系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一般来说“条件”最大、“逻辑”次之，“开始/结束”最小，因为“条件”判断是业务中的关键点，用大图形起到突出作用。同类型图形大小一致，保持整体美观。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440E8E1C" wp14:editId="7D6EB378">
            <wp:extent cx="2181225" cy="3380740"/>
            <wp:effectExtent l="0" t="0" r="9525" b="1016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15B5BC26" wp14:editId="77FFC270">
            <wp:extent cx="3275965" cy="4418965"/>
            <wp:effectExtent l="0" t="0" r="635" b="63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441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“条件”图形2个分支上必须写“Y/N”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明确标记“Y/N”，便于理解业务上的判断条件，和流程走向。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48FA1E70" wp14:editId="3E6E9304">
            <wp:extent cx="2856865" cy="4037965"/>
            <wp:effectExtent l="0" t="0" r="635" b="63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对于“条件”菱形，输入连线箭头连到其他连线上，不连接到点上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不要合并输入连线，不容易理解流程走向。</w:t>
      </w:r>
    </w:p>
    <w:p w:rsidR="00BC638D" w:rsidRDefault="00BC638D" w:rsidP="00BC638D">
      <w:pPr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6508230D" wp14:editId="04359AB8">
            <wp:extent cx="3884295" cy="5301615"/>
            <wp:effectExtent l="0" t="0" r="1905" b="1333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4295" cy="530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不当的做法：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 wp14:anchorId="4AB38B4E" wp14:editId="64F3FADD">
            <wp:extent cx="3349625" cy="5351145"/>
            <wp:effectExtent l="0" t="0" r="3175" b="19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535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“开始”图形只有实线输出，“结束”图形只有实线输入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“开始”图形必定是独立模块起始点，“结束”图形必定是独立模块终点。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2F4F9489" wp14:editId="1B022024">
            <wp:extent cx="2089150" cy="1750060"/>
            <wp:effectExtent l="0" t="0" r="6350" b="254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75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C638D" w:rsidRDefault="00BC638D" w:rsidP="00BC638D">
      <w:pPr>
        <w:numPr>
          <w:ilvl w:val="0"/>
          <w:numId w:val="2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其他类型图形必定有输入和输出，实线、虚线均可</w:t>
      </w:r>
    </w:p>
    <w:p w:rsidR="00BC638D" w:rsidRDefault="00BC638D" w:rsidP="00BC638D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其他类型图形必定是流程中间点，所以一定有输入和输出。</w:t>
      </w:r>
    </w:p>
    <w:p w:rsidR="00BC638D" w:rsidRDefault="00BC638D" w:rsidP="00BC638D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恰当的做法：</w:t>
      </w:r>
    </w:p>
    <w:p w:rsidR="00BC638D" w:rsidRDefault="00BC638D" w:rsidP="00BC638D">
      <w:pPr>
        <w:jc w:val="center"/>
        <w:rPr>
          <w:rFonts w:ascii="微软雅黑" w:eastAsia="微软雅黑" w:hAnsi="微软雅黑" w:cs="微软雅黑"/>
          <w:b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 wp14:anchorId="78D64241" wp14:editId="4EB8A934">
            <wp:extent cx="3247390" cy="4542790"/>
            <wp:effectExtent l="0" t="0" r="10160" b="1016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C4049" w:rsidRDefault="003F3EDE"/>
    <w:sectPr w:rsidR="007C4049" w:rsidSect="00E14063">
      <w:headerReference w:type="default" r:id="rId29"/>
      <w:footerReference w:type="default" r:id="rId30"/>
      <w:pgSz w:w="11906" w:h="16838" w:code="9"/>
      <w:pgMar w:top="238" w:right="454" w:bottom="249" w:left="45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DE" w:rsidRDefault="003F3EDE" w:rsidP="00282F36">
      <w:r>
        <w:separator/>
      </w:r>
    </w:p>
  </w:endnote>
  <w:endnote w:type="continuationSeparator" w:id="0">
    <w:p w:rsidR="003F3EDE" w:rsidRDefault="003F3EDE" w:rsidP="0028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Default="00282F36" w:rsidP="00E14063">
    <w:pPr>
      <w:pStyle w:val="a4"/>
      <w:jc w:val="center"/>
    </w:pPr>
    <w:r>
      <w:rPr>
        <w:noProof/>
      </w:rPr>
      <w:drawing>
        <wp:inline distT="0" distB="0" distL="0" distR="0" wp14:anchorId="27F5C8A6" wp14:editId="1B1F52B6">
          <wp:extent cx="6906782" cy="228600"/>
          <wp:effectExtent l="0" t="0" r="889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-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228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DE" w:rsidRDefault="003F3EDE" w:rsidP="00282F36">
      <w:r>
        <w:separator/>
      </w:r>
    </w:p>
  </w:footnote>
  <w:footnote w:type="continuationSeparator" w:id="0">
    <w:p w:rsidR="003F3EDE" w:rsidRDefault="003F3EDE" w:rsidP="00282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F36" w:rsidRPr="00E14063" w:rsidRDefault="00E14063" w:rsidP="00957FC9">
    <w:pPr>
      <w:pStyle w:val="a3"/>
      <w:pBdr>
        <w:bottom w:val="none" w:sz="0" w:space="0" w:color="auto"/>
      </w:pBdr>
    </w:pPr>
    <w:r>
      <w:rPr>
        <w:noProof/>
      </w:rPr>
      <w:drawing>
        <wp:inline distT="0" distB="0" distL="0" distR="0" wp14:anchorId="15169A08" wp14:editId="1F1FF48F">
          <wp:extent cx="6906782" cy="777242"/>
          <wp:effectExtent l="0" t="0" r="8890" b="381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信纸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6782" cy="777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290A"/>
    <w:multiLevelType w:val="multilevel"/>
    <w:tmpl w:val="5787290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DD85A7"/>
    <w:multiLevelType w:val="multilevel"/>
    <w:tmpl w:val="58DD85A7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B3B"/>
    <w:rsid w:val="00282F36"/>
    <w:rsid w:val="003F3EDE"/>
    <w:rsid w:val="00520652"/>
    <w:rsid w:val="00957FC9"/>
    <w:rsid w:val="00972B3B"/>
    <w:rsid w:val="00BC638D"/>
    <w:rsid w:val="00D625C1"/>
    <w:rsid w:val="00D71A33"/>
    <w:rsid w:val="00E1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38D"/>
    <w:pPr>
      <w:numPr>
        <w:numId w:val="1"/>
      </w:numPr>
      <w:spacing w:line="300" w:lineRule="auto"/>
      <w:outlineLvl w:val="0"/>
    </w:pPr>
    <w:rPr>
      <w:rFonts w:ascii="Tahoma" w:eastAsia="宋体" w:hAnsi="Tahom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C638D"/>
    <w:rPr>
      <w:rFonts w:ascii="Tahoma" w:eastAsia="宋体" w:hAnsi="Tahoma"/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38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38D"/>
    <w:pPr>
      <w:numPr>
        <w:numId w:val="1"/>
      </w:numPr>
      <w:spacing w:line="300" w:lineRule="auto"/>
      <w:outlineLvl w:val="0"/>
    </w:pPr>
    <w:rPr>
      <w:rFonts w:ascii="Tahoma" w:eastAsia="宋体" w:hAnsi="Tahoma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F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F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2F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2F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C638D"/>
    <w:rPr>
      <w:rFonts w:ascii="Tahoma" w:eastAsia="宋体" w:hAnsi="Tahoma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4E2D4-CBE1-4C60-9C24-463D7FDA7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cp:lastPrinted>2018-01-08T01:49:00Z</cp:lastPrinted>
  <dcterms:created xsi:type="dcterms:W3CDTF">2018-01-08T01:31:00Z</dcterms:created>
  <dcterms:modified xsi:type="dcterms:W3CDTF">2018-03-08T02:29:00Z</dcterms:modified>
</cp:coreProperties>
</file>