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7122F" w14:textId="77777777" w:rsidR="008B4DF4" w:rsidRPr="00CF2D76" w:rsidRDefault="00000000">
      <w:pPr>
        <w:pStyle w:val="aa"/>
        <w:jc w:val="center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Crash Course in Causality — Multi‑Select MCQ Set (15 Questions)</w:t>
      </w:r>
    </w:p>
    <w:p w14:paraId="7D8E6ECF" w14:textId="3412578A" w:rsidR="008B4DF4" w:rsidRPr="00CF2D76" w:rsidRDefault="00000000" w:rsidP="00CF2D76">
      <w:pPr>
        <w:jc w:val="center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 xml:space="preserve">Topic: Earnings Surprise → Short‑Horizon Excess Returns </w:t>
      </w:r>
    </w:p>
    <w:p w14:paraId="5C3DE96B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>1) Defining treatment (T): Which definitions of the treatment align with the written section’s identification goals? (Select all that apply.)</w:t>
      </w:r>
    </w:p>
    <w:p w14:paraId="4E308F34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A. </w:t>
      </w:r>
      <w:r w:rsidRPr="00CF2D76">
        <w:rPr>
          <w:rFonts w:ascii="Times New Roman" w:hAnsi="Times New Roman" w:cs="Times New Roman"/>
        </w:rPr>
        <w:t>Ti = 1 if the quarter’s earnings surprise &gt; 0 at announcement.</w:t>
      </w:r>
    </w:p>
    <w:p w14:paraId="37F295DB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B. </w:t>
      </w:r>
      <w:r w:rsidRPr="00CF2D76">
        <w:rPr>
          <w:rFonts w:ascii="Times New Roman" w:hAnsi="Times New Roman" w:cs="Times New Roman"/>
        </w:rPr>
        <w:t>Ti = 1 if the stock’s next‑day return &gt; 0.</w:t>
      </w:r>
    </w:p>
    <w:p w14:paraId="706BD5D6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C. </w:t>
      </w:r>
      <w:r w:rsidRPr="00CF2D76">
        <w:rPr>
          <w:rFonts w:ascii="Times New Roman" w:hAnsi="Times New Roman" w:cs="Times New Roman"/>
        </w:rPr>
        <w:t>Ti = 1 if the quarter’s surprise Z‑score &gt; 0 computed from analysts’ consensus.</w:t>
      </w:r>
    </w:p>
    <w:p w14:paraId="73F7666E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D. </w:t>
      </w:r>
      <w:r w:rsidRPr="00CF2D76">
        <w:rPr>
          <w:rFonts w:ascii="Times New Roman" w:hAnsi="Times New Roman" w:cs="Times New Roman"/>
        </w:rPr>
        <w:t>Ti = 1 if the company issues a guidance upgrade two days after the call.</w:t>
      </w:r>
    </w:p>
    <w:p w14:paraId="7521752E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i/>
        </w:rPr>
        <w:t>Correct Answer(s): A, C</w:t>
      </w:r>
    </w:p>
    <w:p w14:paraId="1F996338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Explanations:</w:t>
      </w:r>
    </w:p>
    <w:p w14:paraId="5A801869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A: Correct — treatment must be determinable at the announcement time and matches the binary definition used in the notebook.</w:t>
      </w:r>
    </w:p>
    <w:p w14:paraId="7F354F67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B: Incorrect — uses post‑announcement outcome to define treatment (label leakage).</w:t>
      </w:r>
    </w:p>
    <w:p w14:paraId="3B342BC3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C: Correct — a standardized surprise measure is acceptable if known at the event time.</w:t>
      </w:r>
    </w:p>
    <w:p w14:paraId="5B7FAFBB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D: Incorrect — uses post‑event information; violates the rule to avoid post‑announcement variables.</w:t>
      </w:r>
    </w:p>
    <w:p w14:paraId="4C85753F" w14:textId="77777777" w:rsidR="008B4DF4" w:rsidRPr="00CF2D76" w:rsidRDefault="008B4DF4">
      <w:pPr>
        <w:rPr>
          <w:rFonts w:ascii="Times New Roman" w:hAnsi="Times New Roman" w:cs="Times New Roman"/>
        </w:rPr>
      </w:pPr>
    </w:p>
    <w:p w14:paraId="36EFC356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>2) Defining outcome (Y): Which outcomes are consistent with the study design? (Select all that apply.)</w:t>
      </w:r>
    </w:p>
    <w:p w14:paraId="27257EBA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A. </w:t>
      </w:r>
      <w:r w:rsidRPr="00CF2D76">
        <w:rPr>
          <w:rFonts w:ascii="Times New Roman" w:hAnsi="Times New Roman" w:cs="Times New Roman"/>
        </w:rPr>
        <w:t>+1 / +3 / +5 excess simple returns (stock − benchmark).</w:t>
      </w:r>
    </w:p>
    <w:p w14:paraId="647B8028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B. </w:t>
      </w:r>
      <w:r w:rsidRPr="00CF2D76">
        <w:rPr>
          <w:rFonts w:ascii="Times New Roman" w:hAnsi="Times New Roman" w:cs="Times New Roman"/>
        </w:rPr>
        <w:t>Cumulative abnormal return (CAR) from −10 to +10 trading days.</w:t>
      </w:r>
    </w:p>
    <w:p w14:paraId="70F06F85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C. </w:t>
      </w:r>
      <w:r w:rsidRPr="00CF2D76">
        <w:rPr>
          <w:rFonts w:ascii="Times New Roman" w:hAnsi="Times New Roman" w:cs="Times New Roman"/>
        </w:rPr>
        <w:t>Raw buy‑and‑hold return from announcement day to +30 with no benchmark.</w:t>
      </w:r>
    </w:p>
    <w:p w14:paraId="52F33E39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D. </w:t>
      </w:r>
      <w:r w:rsidRPr="00CF2D76">
        <w:rPr>
          <w:rFonts w:ascii="Times New Roman" w:hAnsi="Times New Roman" w:cs="Times New Roman"/>
        </w:rPr>
        <w:t>Next‑day alpha from a factor model estimated on pre‑event data.</w:t>
      </w:r>
    </w:p>
    <w:p w14:paraId="58A6E2C1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i/>
        </w:rPr>
        <w:t>Correct Answer(s): A, B, D</w:t>
      </w:r>
    </w:p>
    <w:p w14:paraId="1555DBFC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Explanations:</w:t>
      </w:r>
    </w:p>
    <w:p w14:paraId="19E50C2B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A: Correct — these are the primary outcomes in the notebook.</w:t>
      </w:r>
    </w:p>
    <w:p w14:paraId="03109B40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lastRenderedPageBreak/>
        <w:t>B: Correct — used to visualize dynamics around the announcement.</w:t>
      </w:r>
    </w:p>
    <w:p w14:paraId="2F20A09F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C: Incorrect — long horizon and no benchmark; confounded by broad market moves.</w:t>
      </w:r>
    </w:p>
    <w:p w14:paraId="11BEBA5A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D: Correct — factor‑model alpha is a benchmarked variant when fit on pre‑event data.</w:t>
      </w:r>
    </w:p>
    <w:p w14:paraId="5CFFB6DB" w14:textId="77777777" w:rsidR="008B4DF4" w:rsidRPr="00CF2D76" w:rsidRDefault="008B4DF4">
      <w:pPr>
        <w:rPr>
          <w:rFonts w:ascii="Times New Roman" w:hAnsi="Times New Roman" w:cs="Times New Roman"/>
        </w:rPr>
      </w:pPr>
    </w:p>
    <w:p w14:paraId="5916D72F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>3) Confounders (X): Which variables are appropriate pre‑announcement confounders? (Select all that apply.)</w:t>
      </w:r>
    </w:p>
    <w:p w14:paraId="5C4A07EE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A. </w:t>
      </w:r>
      <w:r w:rsidRPr="00CF2D76">
        <w:rPr>
          <w:rFonts w:ascii="Times New Roman" w:hAnsi="Times New Roman" w:cs="Times New Roman"/>
        </w:rPr>
        <w:t>Log market cap, 6–1 momentum, 60‑day volatility.</w:t>
      </w:r>
    </w:p>
    <w:p w14:paraId="1F1F17D8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B. </w:t>
      </w:r>
      <w:r w:rsidRPr="00CF2D76">
        <w:rPr>
          <w:rFonts w:ascii="Times New Roman" w:hAnsi="Times New Roman" w:cs="Times New Roman"/>
        </w:rPr>
        <w:t>Industry (one‑hot) and analyst coverage count.</w:t>
      </w:r>
    </w:p>
    <w:p w14:paraId="06E27FE8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C. </w:t>
      </w:r>
      <w:r w:rsidRPr="00CF2D76">
        <w:rPr>
          <w:rFonts w:ascii="Times New Roman" w:hAnsi="Times New Roman" w:cs="Times New Roman"/>
        </w:rPr>
        <w:t>Post‑announcement institutional flow on day +2.</w:t>
      </w:r>
    </w:p>
    <w:p w14:paraId="3A5190DE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D. </w:t>
      </w:r>
      <w:r w:rsidRPr="00CF2D76">
        <w:rPr>
          <w:rFonts w:ascii="Times New Roman" w:hAnsi="Times New Roman" w:cs="Times New Roman"/>
        </w:rPr>
        <w:t>Leverage and valuation ratios measured in the prior quarter.</w:t>
      </w:r>
    </w:p>
    <w:p w14:paraId="662F6738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i/>
        </w:rPr>
        <w:t>Correct Answer(s): A, B, D</w:t>
      </w:r>
    </w:p>
    <w:p w14:paraId="4397AFA0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Explanations:</w:t>
      </w:r>
    </w:p>
    <w:p w14:paraId="2D3976A0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A: Correct — canonical pre‑event features affecting both the chance of surprise and the reaction.</w:t>
      </w:r>
    </w:p>
    <w:p w14:paraId="1088A860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B: Correct — plausibly affects both T and Y; encode pre‑event and as one‑hot.</w:t>
      </w:r>
    </w:p>
    <w:p w14:paraId="65B032F4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C: Incorrect — post‑event data causes leakage/collider bias.</w:t>
      </w:r>
    </w:p>
    <w:p w14:paraId="339FB0CE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D: Correct — pre‑event accounting ratios are valid confounders.</w:t>
      </w:r>
    </w:p>
    <w:p w14:paraId="104E9379" w14:textId="77777777" w:rsidR="008B4DF4" w:rsidRPr="00CF2D76" w:rsidRDefault="008B4DF4">
      <w:pPr>
        <w:rPr>
          <w:rFonts w:ascii="Times New Roman" w:hAnsi="Times New Roman" w:cs="Times New Roman"/>
        </w:rPr>
      </w:pPr>
    </w:p>
    <w:p w14:paraId="317C4B1F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>4) DAG implications: Given X → T and X → Y, which statements hold? (Select all that apply.)</w:t>
      </w:r>
    </w:p>
    <w:p w14:paraId="085AA6A7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A. </w:t>
      </w:r>
      <w:r w:rsidRPr="00CF2D76">
        <w:rPr>
          <w:rFonts w:ascii="Times New Roman" w:hAnsi="Times New Roman" w:cs="Times New Roman"/>
        </w:rPr>
        <w:t>Adjusting for X blocks the backdoor path T ← X → Y.</w:t>
      </w:r>
    </w:p>
    <w:p w14:paraId="18B80599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B. </w:t>
      </w:r>
      <w:r w:rsidRPr="00CF2D76">
        <w:rPr>
          <w:rFonts w:ascii="Times New Roman" w:hAnsi="Times New Roman" w:cs="Times New Roman"/>
        </w:rPr>
        <w:t>Adjusting for a post‑event mediator strengthens identification.</w:t>
      </w:r>
    </w:p>
    <w:p w14:paraId="66BB8982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C. </w:t>
      </w:r>
      <w:r w:rsidRPr="00CF2D76">
        <w:rPr>
          <w:rFonts w:ascii="Times New Roman" w:hAnsi="Times New Roman" w:cs="Times New Roman"/>
        </w:rPr>
        <w:t>Not adjusting for X risks attributing pre‑event differences to the surprise itself.</w:t>
      </w:r>
    </w:p>
    <w:p w14:paraId="439732A4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D. </w:t>
      </w:r>
      <w:r w:rsidRPr="00CF2D76">
        <w:rPr>
          <w:rFonts w:ascii="Times New Roman" w:hAnsi="Times New Roman" w:cs="Times New Roman"/>
        </w:rPr>
        <w:t>Adjusting for colliders on post‑event paths is harmless.</w:t>
      </w:r>
    </w:p>
    <w:p w14:paraId="1A7EA56E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i/>
        </w:rPr>
        <w:t>Correct Answer(s): A, C</w:t>
      </w:r>
    </w:p>
    <w:p w14:paraId="079D3D5D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Explanations:</w:t>
      </w:r>
    </w:p>
    <w:p w14:paraId="3647C871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A: Correct — this is the backdoor criterion.</w:t>
      </w:r>
    </w:p>
    <w:p w14:paraId="7AE15E9B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B: Incorrect — conditioning on mediators biases total effects.</w:t>
      </w:r>
    </w:p>
    <w:p w14:paraId="32F74C0E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lastRenderedPageBreak/>
        <w:t>C: Correct — classic omitted‑variable bias.</w:t>
      </w:r>
    </w:p>
    <w:p w14:paraId="542D9691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D: Incorrect — conditioning on colliders opens spurious paths.</w:t>
      </w:r>
    </w:p>
    <w:p w14:paraId="73F61E93" w14:textId="77777777" w:rsidR="008B4DF4" w:rsidRPr="00CF2D76" w:rsidRDefault="008B4DF4">
      <w:pPr>
        <w:rPr>
          <w:rFonts w:ascii="Times New Roman" w:hAnsi="Times New Roman" w:cs="Times New Roman"/>
        </w:rPr>
      </w:pPr>
    </w:p>
    <w:p w14:paraId="43FFEECE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>5) Time alignment &amp; leakage: Which practices prevent label leakage? (Select all that apply.)</w:t>
      </w:r>
    </w:p>
    <w:p w14:paraId="4C7922FC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A. </w:t>
      </w:r>
      <w:r w:rsidRPr="00CF2D76">
        <w:rPr>
          <w:rFonts w:ascii="Times New Roman" w:hAnsi="Times New Roman" w:cs="Times New Roman"/>
        </w:rPr>
        <w:t>Stamp earnings at ET post‑close (16:00) and start returns from the next trading day.</w:t>
      </w:r>
    </w:p>
    <w:p w14:paraId="5E4008B1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B. </w:t>
      </w:r>
      <w:r w:rsidRPr="00CF2D76">
        <w:rPr>
          <w:rFonts w:ascii="Times New Roman" w:hAnsi="Times New Roman" w:cs="Times New Roman"/>
        </w:rPr>
        <w:t>Include after‑hours price drift within "day 0" return used as Y.</w:t>
      </w:r>
    </w:p>
    <w:p w14:paraId="599A64C3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C. </w:t>
      </w:r>
      <w:r w:rsidRPr="00CF2D76">
        <w:rPr>
          <w:rFonts w:ascii="Times New Roman" w:hAnsi="Times New Roman" w:cs="Times New Roman"/>
        </w:rPr>
        <w:t>Use benchmarks (SPY/XLK) to compute abnormal returns.</w:t>
      </w:r>
    </w:p>
    <w:p w14:paraId="13186D5A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D. </w:t>
      </w:r>
      <w:r w:rsidRPr="00CF2D76">
        <w:rPr>
          <w:rFonts w:ascii="Times New Roman" w:hAnsi="Times New Roman" w:cs="Times New Roman"/>
        </w:rPr>
        <w:t>Define T using analysts’ revisions that occur after the call.</w:t>
      </w:r>
    </w:p>
    <w:p w14:paraId="2B27C760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i/>
        </w:rPr>
        <w:t>Correct Answer(s): A, C</w:t>
      </w:r>
    </w:p>
    <w:p w14:paraId="301871C3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Explanations:</w:t>
      </w:r>
    </w:p>
    <w:p w14:paraId="34D10F0C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A: Correct — matches the alignment rule to avoid leakage.</w:t>
      </w:r>
    </w:p>
    <w:p w14:paraId="533B0498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B: Incorrect — mixing after‑hours in Y complicates timing and may leak call content.</w:t>
      </w:r>
    </w:p>
    <w:p w14:paraId="1A2C0EC4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C: Correct — removes market/sector co‑movement.</w:t>
      </w:r>
    </w:p>
    <w:p w14:paraId="273F3CFC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D: Incorrect — post‑event info in T is leakage.</w:t>
      </w:r>
    </w:p>
    <w:p w14:paraId="401369D6" w14:textId="77777777" w:rsidR="008B4DF4" w:rsidRPr="00CF2D76" w:rsidRDefault="008B4DF4">
      <w:pPr>
        <w:rPr>
          <w:rFonts w:ascii="Times New Roman" w:hAnsi="Times New Roman" w:cs="Times New Roman"/>
        </w:rPr>
      </w:pPr>
    </w:p>
    <w:p w14:paraId="43D00BDC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>6) Benchmarks &amp; robustness: Which are valid robustness checks for benchmark choice? (Select all that apply.)</w:t>
      </w:r>
    </w:p>
    <w:p w14:paraId="1F63DDF3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A. </w:t>
      </w:r>
      <w:r w:rsidRPr="00CF2D76">
        <w:rPr>
          <w:rFonts w:ascii="Times New Roman" w:hAnsi="Times New Roman" w:cs="Times New Roman"/>
        </w:rPr>
        <w:t>Compare results using SPY vs XLK.</w:t>
      </w:r>
    </w:p>
    <w:p w14:paraId="554683C0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B. </w:t>
      </w:r>
      <w:r w:rsidRPr="00CF2D76">
        <w:rPr>
          <w:rFonts w:ascii="Times New Roman" w:hAnsi="Times New Roman" w:cs="Times New Roman"/>
        </w:rPr>
        <w:t>Use no benchmark because the market averages out.</w:t>
      </w:r>
    </w:p>
    <w:p w14:paraId="0D3939BD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C. </w:t>
      </w:r>
      <w:r w:rsidRPr="00CF2D76">
        <w:rPr>
          <w:rFonts w:ascii="Times New Roman" w:hAnsi="Times New Roman" w:cs="Times New Roman"/>
        </w:rPr>
        <w:t>Use a pre‑estimated factor model (e.g., MKT, SMB, HML) on pre‑sample.</w:t>
      </w:r>
    </w:p>
    <w:p w14:paraId="6768CB18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D. </w:t>
      </w:r>
      <w:r w:rsidRPr="00CF2D76">
        <w:rPr>
          <w:rFonts w:ascii="Times New Roman" w:hAnsi="Times New Roman" w:cs="Times New Roman"/>
        </w:rPr>
        <w:t>Use an industry equal‑weight benchmark.</w:t>
      </w:r>
    </w:p>
    <w:p w14:paraId="3A4443D7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i/>
        </w:rPr>
        <w:t>Correct Answer(s): A, C, D</w:t>
      </w:r>
    </w:p>
    <w:p w14:paraId="67EB6D10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Explanations:</w:t>
      </w:r>
    </w:p>
    <w:p w14:paraId="4DC3F679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A: Correct — implemented in the notebook.</w:t>
      </w:r>
    </w:p>
    <w:p w14:paraId="71D35CDE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B: Incorrect — omits market control, invites confounding.</w:t>
      </w:r>
    </w:p>
    <w:p w14:paraId="549E937A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C: Correct — standard asset‑pricing adjustment.</w:t>
      </w:r>
    </w:p>
    <w:p w14:paraId="628C9FA3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D: Correct — sectoral alternative is valid when available.</w:t>
      </w:r>
    </w:p>
    <w:p w14:paraId="47D514C5" w14:textId="77777777" w:rsidR="008B4DF4" w:rsidRPr="00CF2D76" w:rsidRDefault="008B4DF4">
      <w:pPr>
        <w:rPr>
          <w:rFonts w:ascii="Times New Roman" w:hAnsi="Times New Roman" w:cs="Times New Roman"/>
        </w:rPr>
      </w:pPr>
    </w:p>
    <w:p w14:paraId="548A9A43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>7) Propensity &amp; overlap diagnostics (if extended to ATE/ATT): Which are essential? (Select all that apply.)</w:t>
      </w:r>
    </w:p>
    <w:p w14:paraId="644CEE3B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A. </w:t>
      </w:r>
      <w:r w:rsidRPr="00CF2D76">
        <w:rPr>
          <w:rFonts w:ascii="Times New Roman" w:hAnsi="Times New Roman" w:cs="Times New Roman"/>
        </w:rPr>
        <w:t>Histogram of e(X) by treatment to assess overlap.</w:t>
      </w:r>
    </w:p>
    <w:p w14:paraId="765C2ADE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B. </w:t>
      </w:r>
      <w:r w:rsidRPr="00CF2D76">
        <w:rPr>
          <w:rFonts w:ascii="Times New Roman" w:hAnsi="Times New Roman" w:cs="Times New Roman"/>
        </w:rPr>
        <w:t>Love plot of standardized mean differences (SMD &lt; 0.1 target).</w:t>
      </w:r>
    </w:p>
    <w:p w14:paraId="48E573E5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C. </w:t>
      </w:r>
      <w:r w:rsidRPr="00CF2D76">
        <w:rPr>
          <w:rFonts w:ascii="Times New Roman" w:hAnsi="Times New Roman" w:cs="Times New Roman"/>
        </w:rPr>
        <w:t>Report only the point estimate; diagnostics are optional.</w:t>
      </w:r>
    </w:p>
    <w:p w14:paraId="259BEB97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D. </w:t>
      </w:r>
      <w:r w:rsidRPr="00CF2D76">
        <w:rPr>
          <w:rFonts w:ascii="Times New Roman" w:hAnsi="Times New Roman" w:cs="Times New Roman"/>
        </w:rPr>
        <w:t>Use IPW or AIPW with robust/bootstrapped CIs.</w:t>
      </w:r>
    </w:p>
    <w:p w14:paraId="69A9B9B3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i/>
        </w:rPr>
        <w:t>Correct Answer(s): A, B, D</w:t>
      </w:r>
    </w:p>
    <w:p w14:paraId="2F45EA8F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Explanations:</w:t>
      </w:r>
    </w:p>
    <w:p w14:paraId="28444452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A: Correct — overlap (0&lt;e&lt;1) is required.</w:t>
      </w:r>
    </w:p>
    <w:p w14:paraId="5DFDC57E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B: Correct — balance diagnostics after weighting/matching.</w:t>
      </w:r>
    </w:p>
    <w:p w14:paraId="6B8E6C74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C: Incorrect — diagnostics are necessary, not optional.</w:t>
      </w:r>
    </w:p>
    <w:p w14:paraId="51E39DBE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D: Correct — recommended estimators and uncertainty reporting.</w:t>
      </w:r>
    </w:p>
    <w:p w14:paraId="242768C1" w14:textId="77777777" w:rsidR="008B4DF4" w:rsidRPr="00CF2D76" w:rsidRDefault="008B4DF4">
      <w:pPr>
        <w:rPr>
          <w:rFonts w:ascii="Times New Roman" w:hAnsi="Times New Roman" w:cs="Times New Roman"/>
        </w:rPr>
      </w:pPr>
    </w:p>
    <w:p w14:paraId="16EA68B7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>8) Event‑study DiD design: Which components describe the minimal setup? (Select all that apply.)</w:t>
      </w:r>
    </w:p>
    <w:p w14:paraId="39BFFB97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A. </w:t>
      </w:r>
      <w:r w:rsidRPr="00CF2D76">
        <w:rPr>
          <w:rFonts w:ascii="Times New Roman" w:hAnsi="Times New Roman" w:cs="Times New Roman"/>
        </w:rPr>
        <w:t>Lead/lag relative‑day dummies with τ = −1 as reference.</w:t>
      </w:r>
    </w:p>
    <w:p w14:paraId="152391CC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B. </w:t>
      </w:r>
      <w:r w:rsidRPr="00CF2D76">
        <w:rPr>
          <w:rFonts w:ascii="Times New Roman" w:hAnsi="Times New Roman" w:cs="Times New Roman"/>
        </w:rPr>
        <w:t>Interactions Treated × lead/lag to trace dynamics.</w:t>
      </w:r>
    </w:p>
    <w:p w14:paraId="109CEC98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C. </w:t>
      </w:r>
      <w:r w:rsidRPr="00CF2D76">
        <w:rPr>
          <w:rFonts w:ascii="Times New Roman" w:hAnsi="Times New Roman" w:cs="Times New Roman"/>
        </w:rPr>
        <w:t>Include post‑event controls such as realized volume at +2.</w:t>
      </w:r>
    </w:p>
    <w:p w14:paraId="6F2D4082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D. </w:t>
      </w:r>
      <w:r w:rsidRPr="00CF2D76">
        <w:rPr>
          <w:rFonts w:ascii="Times New Roman" w:hAnsi="Times New Roman" w:cs="Times New Roman"/>
        </w:rPr>
        <w:t>Test pre‑trends via joint significance of pre‑event interactions.</w:t>
      </w:r>
    </w:p>
    <w:p w14:paraId="3610AB65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i/>
        </w:rPr>
        <w:t>Correct Answer(s): A, B, D</w:t>
      </w:r>
    </w:p>
    <w:p w14:paraId="388C1862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Explanations:</w:t>
      </w:r>
    </w:p>
    <w:p w14:paraId="71904782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A: Correct — core structure.</w:t>
      </w:r>
    </w:p>
    <w:p w14:paraId="4714333F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B: Correct — identifies treatment‑specific path.</w:t>
      </w:r>
    </w:p>
    <w:p w14:paraId="6CFEDCD0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C: Incorrect — post‑event controls can introduce bias.</w:t>
      </w:r>
    </w:p>
    <w:p w14:paraId="086A0B1B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D: Correct — parallel‑trends diagnostic.</w:t>
      </w:r>
    </w:p>
    <w:p w14:paraId="6738C1BB" w14:textId="77777777" w:rsidR="008B4DF4" w:rsidRPr="00CF2D76" w:rsidRDefault="008B4DF4">
      <w:pPr>
        <w:rPr>
          <w:rFonts w:ascii="Times New Roman" w:hAnsi="Times New Roman" w:cs="Times New Roman"/>
        </w:rPr>
      </w:pPr>
    </w:p>
    <w:p w14:paraId="076D023F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lastRenderedPageBreak/>
        <w:t>9) Uncertainty quantification: Which tools are used or recommended? (Select all that apply.)</w:t>
      </w:r>
    </w:p>
    <w:p w14:paraId="7BFBE028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A. </w:t>
      </w:r>
      <w:r w:rsidRPr="00CF2D76">
        <w:rPr>
          <w:rFonts w:ascii="Times New Roman" w:hAnsi="Times New Roman" w:cs="Times New Roman"/>
        </w:rPr>
        <w:t>Nonparametric bootstrap for window returns and CAR.</w:t>
      </w:r>
    </w:p>
    <w:p w14:paraId="08D3645B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B. </w:t>
      </w:r>
      <w:r w:rsidRPr="00CF2D76">
        <w:rPr>
          <w:rFonts w:ascii="Times New Roman" w:hAnsi="Times New Roman" w:cs="Times New Roman"/>
        </w:rPr>
        <w:t>HC1 robust SEs; optionally HAC/Newey–West for serial correlation.</w:t>
      </w:r>
    </w:p>
    <w:p w14:paraId="30BDBA45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C. </w:t>
      </w:r>
      <w:r w:rsidRPr="00CF2D76">
        <w:rPr>
          <w:rFonts w:ascii="Times New Roman" w:hAnsi="Times New Roman" w:cs="Times New Roman"/>
        </w:rPr>
        <w:t>Assume i.i.d. homoskedastic errors without checks.</w:t>
      </w:r>
    </w:p>
    <w:p w14:paraId="799FC048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D. </w:t>
      </w:r>
      <w:r w:rsidRPr="00CF2D76">
        <w:rPr>
          <w:rFonts w:ascii="Times New Roman" w:hAnsi="Times New Roman" w:cs="Times New Roman"/>
        </w:rPr>
        <w:t>Placebo distributions to contextualize effect sizes.</w:t>
      </w:r>
    </w:p>
    <w:p w14:paraId="00A0747C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i/>
        </w:rPr>
        <w:t>Correct Answer(s): A, B, D</w:t>
      </w:r>
    </w:p>
    <w:p w14:paraId="26A162EF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Explanations:</w:t>
      </w:r>
    </w:p>
    <w:p w14:paraId="185D32E9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A: Correct — used for confidence intervals.</w:t>
      </w:r>
    </w:p>
    <w:p w14:paraId="4A76C995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B: Correct — reasonable for event data; HAC helps with autocorrelation.</w:t>
      </w:r>
    </w:p>
    <w:p w14:paraId="4A202C69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C: Incorrect — unsafe assumption.</w:t>
      </w:r>
    </w:p>
    <w:p w14:paraId="4F54A11E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D: Correct — falsification and uncertainty context.</w:t>
      </w:r>
    </w:p>
    <w:p w14:paraId="7CB5E817" w14:textId="77777777" w:rsidR="008B4DF4" w:rsidRPr="00CF2D76" w:rsidRDefault="008B4DF4">
      <w:pPr>
        <w:rPr>
          <w:rFonts w:ascii="Times New Roman" w:hAnsi="Times New Roman" w:cs="Times New Roman"/>
        </w:rPr>
      </w:pPr>
    </w:p>
    <w:p w14:paraId="6995C5A5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>10) Placebo test logic: Why is the placebo informative? (Select all that apply.)</w:t>
      </w:r>
    </w:p>
    <w:p w14:paraId="31CC3E8F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A. </w:t>
      </w:r>
      <w:r w:rsidRPr="00CF2D76">
        <w:rPr>
          <w:rFonts w:ascii="Times New Roman" w:hAnsi="Times New Roman" w:cs="Times New Roman"/>
        </w:rPr>
        <w:t>Pseudo‑events are sampled away from real announcements.</w:t>
      </w:r>
    </w:p>
    <w:p w14:paraId="0388B1D8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B. </w:t>
      </w:r>
      <w:r w:rsidRPr="00CF2D76">
        <w:rPr>
          <w:rFonts w:ascii="Times New Roman" w:hAnsi="Times New Roman" w:cs="Times New Roman"/>
        </w:rPr>
        <w:t>Compare real mean outcomes to the empirical placebo distribution.</w:t>
      </w:r>
    </w:p>
    <w:p w14:paraId="2E1B604B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C. </w:t>
      </w:r>
      <w:r w:rsidRPr="00CF2D76">
        <w:rPr>
          <w:rFonts w:ascii="Times New Roman" w:hAnsi="Times New Roman" w:cs="Times New Roman"/>
        </w:rPr>
        <w:t>A real mean in the upper tail supports an announcement‑related effect.</w:t>
      </w:r>
    </w:p>
    <w:p w14:paraId="6B49F941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D. </w:t>
      </w:r>
      <w:r w:rsidRPr="00CF2D76">
        <w:rPr>
          <w:rFonts w:ascii="Times New Roman" w:hAnsi="Times New Roman" w:cs="Times New Roman"/>
        </w:rPr>
        <w:t>Use the placebo distribution to redefine treatment.</w:t>
      </w:r>
    </w:p>
    <w:p w14:paraId="0FEC34EB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i/>
        </w:rPr>
        <w:t>Correct Answer(s): A, B, C</w:t>
      </w:r>
    </w:p>
    <w:p w14:paraId="73B6CA0C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Explanations:</w:t>
      </w:r>
    </w:p>
    <w:p w14:paraId="467234C8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A: Correct — avoids contamination with true events.</w:t>
      </w:r>
    </w:p>
    <w:p w14:paraId="265FB141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B: Correct — yields a reference distribution under the null.</w:t>
      </w:r>
    </w:p>
    <w:p w14:paraId="401FC0DD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C: Correct — tail probability acts like a p‑value heuristic.</w:t>
      </w:r>
    </w:p>
    <w:p w14:paraId="1D36A53F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D: Incorrect — placebo is for falsification, not for defining T.</w:t>
      </w:r>
    </w:p>
    <w:p w14:paraId="546E15E3" w14:textId="77777777" w:rsidR="008B4DF4" w:rsidRPr="00CF2D76" w:rsidRDefault="008B4DF4">
      <w:pPr>
        <w:rPr>
          <w:rFonts w:ascii="Times New Roman" w:hAnsi="Times New Roman" w:cs="Times New Roman"/>
        </w:rPr>
      </w:pPr>
    </w:p>
    <w:p w14:paraId="1E4A818E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>11) Data preparation = identification: Which steps in the notebook directly support identification? (Select all that apply.)</w:t>
      </w:r>
    </w:p>
    <w:p w14:paraId="2B58E121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A. </w:t>
      </w:r>
      <w:r w:rsidRPr="00CF2D76">
        <w:rPr>
          <w:rFonts w:ascii="Times New Roman" w:hAnsi="Times New Roman" w:cs="Times New Roman"/>
        </w:rPr>
        <w:t>Time‑zone standardization to ET/post‑close.</w:t>
      </w:r>
    </w:p>
    <w:p w14:paraId="0BC17FD7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lastRenderedPageBreak/>
        <w:t xml:space="preserve">B. </w:t>
      </w:r>
      <w:r w:rsidRPr="00CF2D76">
        <w:rPr>
          <w:rFonts w:ascii="Times New Roman" w:hAnsi="Times New Roman" w:cs="Times New Roman"/>
        </w:rPr>
        <w:t>Benchmarking to compute abnormal returns.</w:t>
      </w:r>
    </w:p>
    <w:p w14:paraId="19520E36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C. </w:t>
      </w:r>
      <w:r w:rsidRPr="00CF2D76">
        <w:rPr>
          <w:rFonts w:ascii="Times New Roman" w:hAnsi="Times New Roman" w:cs="Times New Roman"/>
        </w:rPr>
        <w:t>Mix pre‑ and post‑event info in X to increase R².</w:t>
      </w:r>
    </w:p>
    <w:p w14:paraId="7BF7DC72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D. </w:t>
      </w:r>
      <w:r w:rsidRPr="00CF2D76">
        <w:rPr>
          <w:rFonts w:ascii="Times New Roman" w:hAnsi="Times New Roman" w:cs="Times New Roman"/>
        </w:rPr>
        <w:t>Clear window definitions and reproducible paths/exports.</w:t>
      </w:r>
    </w:p>
    <w:p w14:paraId="6ED0EF68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i/>
        </w:rPr>
        <w:t>Correct Answer(s): A, B, D</w:t>
      </w:r>
    </w:p>
    <w:p w14:paraId="607D5B7F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Explanations:</w:t>
      </w:r>
    </w:p>
    <w:p w14:paraId="442BF493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A: Correct — prevents leakage.</w:t>
      </w:r>
    </w:p>
    <w:p w14:paraId="65527248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B: Correct — removes common shocks.</w:t>
      </w:r>
    </w:p>
    <w:p w14:paraId="26F72DEB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C: Incorrect — contaminates identification.</w:t>
      </w:r>
    </w:p>
    <w:p w14:paraId="73A94A37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D: Correct — improves auditability and credibility.</w:t>
      </w:r>
    </w:p>
    <w:p w14:paraId="40910283" w14:textId="77777777" w:rsidR="008B4DF4" w:rsidRPr="00CF2D76" w:rsidRDefault="008B4DF4">
      <w:pPr>
        <w:rPr>
          <w:rFonts w:ascii="Times New Roman" w:hAnsi="Times New Roman" w:cs="Times New Roman"/>
        </w:rPr>
      </w:pPr>
    </w:p>
    <w:p w14:paraId="161A3009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>12) SCM suitability: When is Synthetic Control most appropriate here? (Select all that apply.)</w:t>
      </w:r>
    </w:p>
    <w:p w14:paraId="05B197F3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A. </w:t>
      </w:r>
      <w:r w:rsidRPr="00CF2D76">
        <w:rPr>
          <w:rFonts w:ascii="Times New Roman" w:hAnsi="Times New Roman" w:cs="Times New Roman"/>
        </w:rPr>
        <w:t>Single marquee firm with many controls and long pre‑period.</w:t>
      </w:r>
    </w:p>
    <w:p w14:paraId="091EEE1E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B. </w:t>
      </w:r>
      <w:r w:rsidRPr="00CF2D76">
        <w:rPr>
          <w:rFonts w:ascii="Times New Roman" w:hAnsi="Times New Roman" w:cs="Times New Roman"/>
        </w:rPr>
        <w:t>Many treated firms with staggered treatment dates.</w:t>
      </w:r>
    </w:p>
    <w:p w14:paraId="02A1A827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C. </w:t>
      </w:r>
      <w:r w:rsidRPr="00CF2D76">
        <w:rPr>
          <w:rFonts w:ascii="Times New Roman" w:hAnsi="Times New Roman" w:cs="Times New Roman"/>
        </w:rPr>
        <w:t>When the pre‑event path can be closely matched by a convex combination of controls.</w:t>
      </w:r>
    </w:p>
    <w:p w14:paraId="0EBC9CF0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D. </w:t>
      </w:r>
      <w:r w:rsidRPr="00CF2D76">
        <w:rPr>
          <w:rFonts w:ascii="Times New Roman" w:hAnsi="Times New Roman" w:cs="Times New Roman"/>
        </w:rPr>
        <w:t>When only a cross‑sectional ATE at one date is desired.</w:t>
      </w:r>
    </w:p>
    <w:p w14:paraId="74DD6294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i/>
        </w:rPr>
        <w:t>Correct Answer(s): A, C</w:t>
      </w:r>
    </w:p>
    <w:p w14:paraId="6C1BABDE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Explanations:</w:t>
      </w:r>
    </w:p>
    <w:p w14:paraId="7C9D5742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A: Correct — SCM excels with one/few treated units and long pre‑fit.</w:t>
      </w:r>
    </w:p>
    <w:p w14:paraId="3B2989AB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B: Incorrect — staggered multi‑treatment fits modern DiD better.</w:t>
      </w:r>
    </w:p>
    <w:p w14:paraId="4393475A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C: Correct — pre‑fit quality is key to SCM credibility.</w:t>
      </w:r>
    </w:p>
    <w:p w14:paraId="0425268F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D: Incorrect — SCM is for dynamic counterfactual paths, not single cross‑section.</w:t>
      </w:r>
    </w:p>
    <w:p w14:paraId="2044EDC7" w14:textId="77777777" w:rsidR="008B4DF4" w:rsidRPr="00CF2D76" w:rsidRDefault="008B4DF4">
      <w:pPr>
        <w:rPr>
          <w:rFonts w:ascii="Times New Roman" w:hAnsi="Times New Roman" w:cs="Times New Roman"/>
        </w:rPr>
      </w:pPr>
    </w:p>
    <w:p w14:paraId="0F62BD1E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>13) Parallel‑trends threats: What threatens the DiD assumption most here? (Select all that apply.)</w:t>
      </w:r>
    </w:p>
    <w:p w14:paraId="59FDE8DC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A. </w:t>
      </w:r>
      <w:r w:rsidRPr="00CF2D76">
        <w:rPr>
          <w:rFonts w:ascii="Times New Roman" w:hAnsi="Times New Roman" w:cs="Times New Roman"/>
        </w:rPr>
        <w:t>Treated and control quarters differ in pre‑event momentum.</w:t>
      </w:r>
    </w:p>
    <w:p w14:paraId="7CDB2C44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B. </w:t>
      </w:r>
      <w:r w:rsidRPr="00CF2D76">
        <w:rPr>
          <w:rFonts w:ascii="Times New Roman" w:hAnsi="Times New Roman" w:cs="Times New Roman"/>
        </w:rPr>
        <w:t>Macro news cluster on event dates.</w:t>
      </w:r>
    </w:p>
    <w:p w14:paraId="7F3E1F91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lastRenderedPageBreak/>
        <w:t xml:space="preserve">C. </w:t>
      </w:r>
      <w:r w:rsidRPr="00CF2D76">
        <w:rPr>
          <w:rFonts w:ascii="Times New Roman" w:hAnsi="Times New Roman" w:cs="Times New Roman"/>
        </w:rPr>
        <w:t>Using the same benchmark for treated and control groups.</w:t>
      </w:r>
    </w:p>
    <w:p w14:paraId="0D4DE90D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D. </w:t>
      </w:r>
      <w:r w:rsidRPr="00CF2D76">
        <w:rPr>
          <w:rFonts w:ascii="Times New Roman" w:hAnsi="Times New Roman" w:cs="Times New Roman"/>
        </w:rPr>
        <w:t>Joint tests verify pre‑event coefficients are near zero.</w:t>
      </w:r>
    </w:p>
    <w:p w14:paraId="00F25671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i/>
        </w:rPr>
        <w:t>Correct Answer(s): A, B</w:t>
      </w:r>
    </w:p>
    <w:p w14:paraId="6BEAE1CC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Explanations:</w:t>
      </w:r>
    </w:p>
    <w:p w14:paraId="2CE54A85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A: Correct — diverging pre‑trends break the assumption.</w:t>
      </w:r>
    </w:p>
    <w:p w14:paraId="73689579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B: Correct — common shocks coinciding with events violate comparability.</w:t>
      </w:r>
    </w:p>
    <w:p w14:paraId="0E3B35E7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C: Incorrect — same benchmark helps absorb common shocks.</w:t>
      </w:r>
    </w:p>
    <w:p w14:paraId="108F8476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D: Incorrect — this is a mitigation/diagnostic, not a threat.</w:t>
      </w:r>
    </w:p>
    <w:p w14:paraId="6CD9566A" w14:textId="77777777" w:rsidR="008B4DF4" w:rsidRPr="00CF2D76" w:rsidRDefault="008B4DF4">
      <w:pPr>
        <w:rPr>
          <w:rFonts w:ascii="Times New Roman" w:hAnsi="Times New Roman" w:cs="Times New Roman"/>
        </w:rPr>
      </w:pPr>
    </w:p>
    <w:p w14:paraId="68D51F82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>14) Reporting best practices: Which choices improve interpretability and credibility? (Select all that apply.)</w:t>
      </w:r>
    </w:p>
    <w:p w14:paraId="5326B9EF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A. </w:t>
      </w:r>
      <w:r w:rsidRPr="00CF2D76">
        <w:rPr>
          <w:rFonts w:ascii="Times New Roman" w:hAnsi="Times New Roman" w:cs="Times New Roman"/>
        </w:rPr>
        <w:t>Show the pre‑trend p‑value next to the DiD plot and shade the pre‑event region.</w:t>
      </w:r>
    </w:p>
    <w:p w14:paraId="0FB7DB65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B. </w:t>
      </w:r>
      <w:r w:rsidRPr="00CF2D76">
        <w:rPr>
          <w:rFonts w:ascii="Times New Roman" w:hAnsi="Times New Roman" w:cs="Times New Roman"/>
        </w:rPr>
        <w:t>Release code/notebook with fixed seeds and path configs.</w:t>
      </w:r>
    </w:p>
    <w:p w14:paraId="1B6875CE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C. </w:t>
      </w:r>
      <w:r w:rsidRPr="00CF2D76">
        <w:rPr>
          <w:rFonts w:ascii="Times New Roman" w:hAnsi="Times New Roman" w:cs="Times New Roman"/>
        </w:rPr>
        <w:t>Report only significant post‑event points to keep plots clean.</w:t>
      </w:r>
    </w:p>
    <w:p w14:paraId="117C1796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D. </w:t>
      </w:r>
      <w:r w:rsidRPr="00CF2D76">
        <w:rPr>
          <w:rFonts w:ascii="Times New Roman" w:hAnsi="Times New Roman" w:cs="Times New Roman"/>
        </w:rPr>
        <w:t>Provide window/benchmark robustness and placebo results.</w:t>
      </w:r>
    </w:p>
    <w:p w14:paraId="60A18E5C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i/>
        </w:rPr>
        <w:t>Correct Answer(s): A, B, D</w:t>
      </w:r>
    </w:p>
    <w:p w14:paraId="30DF5A75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Explanations:</w:t>
      </w:r>
    </w:p>
    <w:p w14:paraId="039DF7B9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A: Correct — transparency on assumptions.</w:t>
      </w:r>
    </w:p>
    <w:p w14:paraId="5E35370B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B: Correct — reproducibility builds trust.</w:t>
      </w:r>
    </w:p>
    <w:p w14:paraId="3A8D7BBC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C: Incorrect — selective reporting biases inference.</w:t>
      </w:r>
    </w:p>
    <w:p w14:paraId="60D0B3DC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D: Correct — robustness strengthens credibility.</w:t>
      </w:r>
    </w:p>
    <w:p w14:paraId="4190F396" w14:textId="77777777" w:rsidR="008B4DF4" w:rsidRPr="00CF2D76" w:rsidRDefault="008B4DF4">
      <w:pPr>
        <w:rPr>
          <w:rFonts w:ascii="Times New Roman" w:hAnsi="Times New Roman" w:cs="Times New Roman"/>
        </w:rPr>
      </w:pPr>
    </w:p>
    <w:p w14:paraId="70DD9436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>15) Limitations &amp; next steps: Which items correctly reflect your study’s limits and extensions? (Select all that apply.)</w:t>
      </w:r>
    </w:p>
    <w:p w14:paraId="7F8BC9D5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A. </w:t>
      </w:r>
      <w:r w:rsidRPr="00CF2D76">
        <w:rPr>
          <w:rFonts w:ascii="Times New Roman" w:hAnsi="Times New Roman" w:cs="Times New Roman"/>
        </w:rPr>
        <w:t>Single firm and few events limit precision.</w:t>
      </w:r>
    </w:p>
    <w:p w14:paraId="30CAF813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B. </w:t>
      </w:r>
      <w:r w:rsidRPr="00CF2D76">
        <w:rPr>
          <w:rFonts w:ascii="Times New Roman" w:hAnsi="Times New Roman" w:cs="Times New Roman"/>
        </w:rPr>
        <w:t>Add pre‑announcement covariates and expand to a multi‑firm panel.</w:t>
      </w:r>
    </w:p>
    <w:p w14:paraId="759BC8F1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t xml:space="preserve">C. </w:t>
      </w:r>
      <w:r w:rsidRPr="00CF2D76">
        <w:rPr>
          <w:rFonts w:ascii="Times New Roman" w:hAnsi="Times New Roman" w:cs="Times New Roman"/>
        </w:rPr>
        <w:t>Replace DiD with a single cross‑sectional regression on day +1 only.</w:t>
      </w:r>
    </w:p>
    <w:p w14:paraId="7478AFCC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b/>
        </w:rPr>
        <w:lastRenderedPageBreak/>
        <w:t xml:space="preserve">D. </w:t>
      </w:r>
      <w:r w:rsidRPr="00CF2D76">
        <w:rPr>
          <w:rFonts w:ascii="Times New Roman" w:hAnsi="Times New Roman" w:cs="Times New Roman"/>
        </w:rPr>
        <w:t>Consider AIPW/ATT or DiD with firm/date fixed effects and balance/overlap diagnostics.</w:t>
      </w:r>
    </w:p>
    <w:p w14:paraId="54FD14AD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  <w:i/>
        </w:rPr>
        <w:t>Correct Answer(s): A, B, D</w:t>
      </w:r>
    </w:p>
    <w:p w14:paraId="0C0F1C86" w14:textId="77777777" w:rsidR="008B4DF4" w:rsidRPr="00CF2D76" w:rsidRDefault="00000000">
      <w:pPr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Explanations:</w:t>
      </w:r>
    </w:p>
    <w:p w14:paraId="3AC5F4D5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A: Correct — acknowledged limitation.</w:t>
      </w:r>
    </w:p>
    <w:p w14:paraId="574E530A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B: Correct — strengthens identification and precision.</w:t>
      </w:r>
    </w:p>
    <w:p w14:paraId="72D4814B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C: Incorrect — downgrades identification and ignores dynamics.</w:t>
      </w:r>
    </w:p>
    <w:p w14:paraId="5D711234" w14:textId="77777777" w:rsidR="008B4DF4" w:rsidRPr="00CF2D76" w:rsidRDefault="00000000">
      <w:pPr>
        <w:ind w:left="360"/>
        <w:rPr>
          <w:rFonts w:ascii="Times New Roman" w:hAnsi="Times New Roman" w:cs="Times New Roman"/>
        </w:rPr>
      </w:pPr>
      <w:r w:rsidRPr="00CF2D76">
        <w:rPr>
          <w:rFonts w:ascii="Times New Roman" w:hAnsi="Times New Roman" w:cs="Times New Roman"/>
        </w:rPr>
        <w:t>D: Correct — stronger estimators/FE structure and diagnostics.</w:t>
      </w:r>
    </w:p>
    <w:p w14:paraId="55D44DC0" w14:textId="77777777" w:rsidR="008B4DF4" w:rsidRPr="00CF2D76" w:rsidRDefault="008B4DF4">
      <w:pPr>
        <w:rPr>
          <w:rFonts w:ascii="Times New Roman" w:hAnsi="Times New Roman" w:cs="Times New Roman"/>
        </w:rPr>
      </w:pPr>
    </w:p>
    <w:sectPr w:rsidR="008B4DF4" w:rsidRPr="00CF2D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681563">
    <w:abstractNumId w:val="8"/>
  </w:num>
  <w:num w:numId="2" w16cid:durableId="709495450">
    <w:abstractNumId w:val="6"/>
  </w:num>
  <w:num w:numId="3" w16cid:durableId="1352992703">
    <w:abstractNumId w:val="5"/>
  </w:num>
  <w:num w:numId="4" w16cid:durableId="195316494">
    <w:abstractNumId w:val="4"/>
  </w:num>
  <w:num w:numId="5" w16cid:durableId="1609044573">
    <w:abstractNumId w:val="7"/>
  </w:num>
  <w:num w:numId="6" w16cid:durableId="1930112730">
    <w:abstractNumId w:val="3"/>
  </w:num>
  <w:num w:numId="7" w16cid:durableId="456611252">
    <w:abstractNumId w:val="2"/>
  </w:num>
  <w:num w:numId="8" w16cid:durableId="285040203">
    <w:abstractNumId w:val="1"/>
  </w:num>
  <w:num w:numId="9" w16cid:durableId="128033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4DF4"/>
    <w:rsid w:val="00AA1D8D"/>
    <w:rsid w:val="00B47730"/>
    <w:rsid w:val="00CB0664"/>
    <w:rsid w:val="00CF2D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EF132"/>
  <w14:defaultImageDpi w14:val="300"/>
  <w15:docId w15:val="{1BA22DBD-9CF1-8646-9043-D9193924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 user</cp:lastModifiedBy>
  <cp:revision>2</cp:revision>
  <dcterms:created xsi:type="dcterms:W3CDTF">2013-12-23T23:15:00Z</dcterms:created>
  <dcterms:modified xsi:type="dcterms:W3CDTF">2025-11-09T00:12:00Z</dcterms:modified>
  <cp:category/>
</cp:coreProperties>
</file>