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FECAA">
      <w:pPr>
        <w:jc w:val="left"/>
        <w:rPr>
          <w:rFonts w:ascii="Calibri" w:hAnsi="Calibri" w:eastAsia="宋体" w:cs="Times New Roman"/>
        </w:rPr>
      </w:pPr>
    </w:p>
    <w:p w14:paraId="76B509AD">
      <w:pPr>
        <w:tabs>
          <w:tab w:val="left" w:pos="4035"/>
          <w:tab w:val="left" w:pos="4635"/>
        </w:tabs>
        <w:jc w:val="lef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  <w:b/>
          <w:color w:val="C0C0C0"/>
          <w:spacing w:val="60"/>
          <w:sz w:val="140"/>
          <w:szCs w:val="14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229100" cy="885825"/>
            <wp:effectExtent l="0" t="0" r="0" b="0"/>
            <wp:wrapNone/>
            <wp:docPr id="1026" name="图片 2" descr="卡通人物&#10;&#10;中度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卡通人物&#10;&#10;中度可信度描述已自动生成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5AC82">
      <w:pPr>
        <w:spacing w:line="1260" w:lineRule="exact"/>
        <w:ind w:firstLine="1349" w:firstLineChars="102"/>
        <w:rPr>
          <w:rFonts w:ascii="Arial Black" w:hAnsi="Arial Black" w:eastAsia="黑体" w:cs="Times New Roman"/>
          <w:b/>
          <w:color w:val="999999"/>
          <w:spacing w:val="21"/>
          <w:w w:val="85"/>
          <w:position w:val="-10"/>
          <w:sz w:val="150"/>
          <w:szCs w:val="150"/>
        </w:rPr>
      </w:pPr>
      <w:r>
        <w:rPr>
          <w:rFonts w:ascii="Arial Black" w:hAnsi="Arial Black" w:eastAsia="黑体" w:cs="Times New Roman"/>
          <w:b/>
          <w:color w:val="999999"/>
          <w:spacing w:val="21"/>
          <w:w w:val="85"/>
          <w:position w:val="-10"/>
          <w:sz w:val="150"/>
          <w:szCs w:val="150"/>
        </w:rPr>
        <w:t>Z S T U</w:t>
      </w:r>
    </w:p>
    <w:p w14:paraId="7AFC192F">
      <w:pPr>
        <w:spacing w:line="400" w:lineRule="exact"/>
        <w:ind w:firstLine="883" w:firstLineChars="200"/>
        <w:rPr>
          <w:rFonts w:ascii="黑体" w:hAnsi="Impact" w:eastAsia="黑体" w:cs="Times New Roman"/>
          <w:b/>
          <w:color w:val="000000"/>
          <w:sz w:val="44"/>
          <w:szCs w:val="44"/>
        </w:rPr>
      </w:pPr>
      <w:r>
        <w:rPr>
          <w:rFonts w:hint="eastAsia" w:ascii="黑体" w:hAnsi="Impact" w:eastAsia="黑体" w:cs="Times New Roman"/>
          <w:b/>
          <w:color w:val="000000"/>
          <w:sz w:val="44"/>
          <w:szCs w:val="44"/>
        </w:rPr>
        <w:t>Zhejiang Sci-Tech University</w:t>
      </w:r>
    </w:p>
    <w:p w14:paraId="0EAD35FD">
      <w:pPr>
        <w:spacing w:line="400" w:lineRule="exact"/>
        <w:rPr>
          <w:rFonts w:ascii="黑体" w:hAnsi="宋体" w:eastAsia="黑体" w:cs="Times New Roman"/>
          <w:b/>
          <w:color w:val="000000"/>
          <w:sz w:val="44"/>
          <w:szCs w:val="44"/>
        </w:rPr>
      </w:pPr>
    </w:p>
    <w:p w14:paraId="28204A31">
      <w:pPr>
        <w:spacing w:line="360" w:lineRule="auto"/>
        <w:jc w:val="center"/>
        <w:rPr>
          <w:rFonts w:ascii="黑体" w:hAnsi="微软雅黑" w:eastAsia="黑体" w:cs="Times New Roman"/>
          <w:b/>
          <w:sz w:val="38"/>
          <w:szCs w:val="38"/>
        </w:rPr>
      </w:pPr>
      <w:r>
        <w:rPr>
          <w:rFonts w:hint="eastAsia" w:ascii="黑体" w:hAnsi="微软雅黑" w:eastAsia="黑体" w:cs="Times New Roman"/>
          <w:b/>
          <w:sz w:val="38"/>
          <w:szCs w:val="38"/>
        </w:rPr>
        <w:t>《军事理论》</w:t>
      </w:r>
    </w:p>
    <w:p w14:paraId="1DF16F3C">
      <w:pPr>
        <w:jc w:val="center"/>
        <w:rPr>
          <w:rFonts w:ascii="黑体" w:hAnsi="Calibri" w:eastAsia="黑体" w:cs="Times New Roman"/>
          <w:b/>
          <w:i/>
          <w:sz w:val="52"/>
          <w:szCs w:val="52"/>
        </w:rPr>
      </w:pPr>
      <w:r>
        <w:rPr>
          <w:rFonts w:hint="eastAsia" w:ascii="黑体" w:hAnsi="Calibri" w:eastAsia="黑体" w:cs="Times New Roman"/>
          <w:b/>
          <w:iCs/>
          <w:sz w:val="52"/>
          <w:szCs w:val="52"/>
        </w:rPr>
        <w:t>实践教学成果</w:t>
      </w:r>
    </w:p>
    <w:p w14:paraId="03E8BE07">
      <w:pPr>
        <w:ind w:firstLine="316" w:firstLineChars="150"/>
        <w:rPr>
          <w:rFonts w:ascii="Calibri" w:hAnsi="Calibri" w:eastAsia="黑体" w:cs="Times New Roman"/>
          <w:b/>
          <w:i/>
          <w:color w:val="000000"/>
          <w:szCs w:val="21"/>
        </w:rPr>
      </w:pPr>
    </w:p>
    <w:p w14:paraId="5033D791">
      <w:pPr>
        <w:jc w:val="center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drawing>
          <wp:inline distT="0" distB="0" distL="0" distR="0">
            <wp:extent cx="1507490" cy="1256030"/>
            <wp:effectExtent l="0" t="0" r="3810" b="1270"/>
            <wp:docPr id="1027" name="图片 1" descr="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徽标&#10;&#10;描述已自动生成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256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98B4">
      <w:pPr>
        <w:jc w:val="center"/>
        <w:rPr>
          <w:rFonts w:ascii="Calibri" w:hAnsi="Calibri" w:eastAsia="宋体" w:cs="Times New Roman"/>
        </w:rPr>
      </w:pPr>
    </w:p>
    <w:p w14:paraId="07BE7D0A">
      <w:pPr>
        <w:rPr>
          <w:rFonts w:ascii="Calibri" w:hAnsi="Calibri" w:eastAsia="宋体" w:cs="Times New Roman"/>
          <w:b/>
        </w:rPr>
      </w:pPr>
    </w:p>
    <w:p w14:paraId="333FC32B">
      <w:pPr>
        <w:jc w:val="left"/>
        <w:rPr>
          <w:rFonts w:hint="eastAsia" w:ascii="宋体" w:hAnsi="宋体" w:eastAsia="宋体" w:cs="Times New Roman"/>
          <w:b/>
          <w:sz w:val="28"/>
          <w:szCs w:val="28"/>
        </w:rPr>
      </w:pPr>
    </w:p>
    <w:p w14:paraId="62E8D165">
      <w:pPr>
        <w:jc w:val="center"/>
        <w:rPr>
          <w:rFonts w:ascii="Calibri" w:hAnsi="Calibri" w:eastAsia="宋体" w:cs="Times New Roman"/>
          <w:b/>
          <w:sz w:val="36"/>
          <w:szCs w:val="36"/>
          <w:u w:val="single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题目</w:t>
      </w:r>
      <w:r>
        <w:rPr>
          <w:rFonts w:ascii="宋体" w:hAnsi="宋体" w:eastAsia="宋体" w:cs="Times New Roman"/>
          <w:b/>
          <w:sz w:val="28"/>
          <w:szCs w:val="28"/>
        </w:rPr>
        <w:t>:</w:t>
      </w:r>
      <w:r>
        <w:rPr>
          <w:rFonts w:hint="eastAsia" w:ascii="宋体" w:hAnsi="宋体" w:eastAsia="宋体" w:cs="Times New Roman"/>
          <w:b/>
          <w:sz w:val="28"/>
          <w:szCs w:val="28"/>
          <w:u w:val="thick"/>
          <w:lang w:val="en-US" w:eastAsia="zh-CN"/>
        </w:rPr>
        <w:t>杭州地区军事现状分析及国防建设建议</w:t>
      </w:r>
      <w:bookmarkStart w:id="1" w:name="_GoBack"/>
      <w:bookmarkEnd w:id="1"/>
    </w:p>
    <w:p w14:paraId="770D5082"/>
    <w:p w14:paraId="70742EBD"/>
    <w:p w14:paraId="34EFB406"/>
    <w:tbl>
      <w:tblPr>
        <w:tblStyle w:val="4"/>
        <w:tblpPr w:leftFromText="180" w:rightFromText="180" w:vertAnchor="text" w:horzAnchor="page" w:tblpX="1356" w:tblpY="366"/>
        <w:tblW w:w="9609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134"/>
        <w:gridCol w:w="1722"/>
        <w:gridCol w:w="2537"/>
        <w:gridCol w:w="1625"/>
        <w:gridCol w:w="1791"/>
      </w:tblGrid>
      <w:tr w14:paraId="1E3B821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Align w:val="center"/>
          </w:tcPr>
          <w:p w14:paraId="6AA9BC71">
            <w:pPr>
              <w:widowControl/>
              <w:jc w:val="center"/>
              <w:rPr>
                <w:rFonts w:ascii="宋体" w:hAnsi="Calibri" w:eastAsia="宋体" w:cs="宋体"/>
                <w:kern w:val="0"/>
                <w:sz w:val="24"/>
                <w:szCs w:val="24"/>
              </w:rPr>
            </w:pPr>
            <w:bookmarkStart w:id="0" w:name="_Hlk153666947"/>
          </w:p>
        </w:tc>
        <w:tc>
          <w:tcPr>
            <w:tcW w:w="1134" w:type="dxa"/>
            <w:vAlign w:val="center"/>
          </w:tcPr>
          <w:p w14:paraId="576CF12C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722" w:type="dxa"/>
            <w:vAlign w:val="center"/>
          </w:tcPr>
          <w:p w14:paraId="45954DD0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2537" w:type="dxa"/>
            <w:vAlign w:val="center"/>
          </w:tcPr>
          <w:p w14:paraId="4B82C678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1625" w:type="dxa"/>
            <w:noWrap/>
            <w:vAlign w:val="center"/>
          </w:tcPr>
          <w:p w14:paraId="0CEB1AF5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Calibri" w:eastAsia="宋体" w:cs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1791" w:type="dxa"/>
            <w:noWrap/>
            <w:vAlign w:val="center"/>
          </w:tcPr>
          <w:p w14:paraId="3D8DB148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Calibri" w:eastAsia="宋体" w:cs="宋体"/>
                <w:b/>
                <w:bCs/>
                <w:kern w:val="0"/>
                <w:sz w:val="24"/>
                <w:szCs w:val="24"/>
              </w:rPr>
              <w:t>上课时间</w:t>
            </w:r>
          </w:p>
        </w:tc>
      </w:tr>
      <w:tr w14:paraId="057AD3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noWrap/>
            <w:vAlign w:val="center"/>
          </w:tcPr>
          <w:p w14:paraId="72F2C011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组长</w:t>
            </w:r>
          </w:p>
        </w:tc>
        <w:tc>
          <w:tcPr>
            <w:tcW w:w="1134" w:type="dxa"/>
            <w:noWrap/>
            <w:vAlign w:val="center"/>
          </w:tcPr>
          <w:p w14:paraId="5662B9EF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代翔</w:t>
            </w:r>
          </w:p>
        </w:tc>
        <w:tc>
          <w:tcPr>
            <w:tcW w:w="1722" w:type="dxa"/>
            <w:noWrap/>
            <w:vAlign w:val="center"/>
          </w:tcPr>
          <w:p w14:paraId="5995A6DB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2023337621159</w:t>
            </w:r>
          </w:p>
        </w:tc>
        <w:tc>
          <w:tcPr>
            <w:tcW w:w="2537" w:type="dxa"/>
            <w:noWrap/>
            <w:vAlign w:val="center"/>
          </w:tcPr>
          <w:p w14:paraId="15CE2320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计科全英班</w:t>
            </w:r>
          </w:p>
        </w:tc>
        <w:tc>
          <w:tcPr>
            <w:tcW w:w="1625" w:type="dxa"/>
            <w:noWrap/>
            <w:vAlign w:val="center"/>
          </w:tcPr>
          <w:p w14:paraId="1DEB5B22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15700145894</w:t>
            </w:r>
          </w:p>
        </w:tc>
        <w:tc>
          <w:tcPr>
            <w:tcW w:w="1791" w:type="dxa"/>
            <w:noWrap/>
            <w:vAlign w:val="center"/>
          </w:tcPr>
          <w:p w14:paraId="2339A5D7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周一晚10-12节</w:t>
            </w:r>
          </w:p>
        </w:tc>
      </w:tr>
      <w:tr w14:paraId="1D3E34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00" w:type="dxa"/>
            <w:vMerge w:val="restart"/>
            <w:noWrap/>
            <w:vAlign w:val="center"/>
          </w:tcPr>
          <w:p w14:paraId="18F31D95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组员</w:t>
            </w:r>
          </w:p>
        </w:tc>
        <w:tc>
          <w:tcPr>
            <w:tcW w:w="1134" w:type="dxa"/>
            <w:noWrap/>
            <w:vAlign w:val="center"/>
          </w:tcPr>
          <w:p w14:paraId="328B199C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何琬瑞</w:t>
            </w:r>
          </w:p>
        </w:tc>
        <w:tc>
          <w:tcPr>
            <w:tcW w:w="1722" w:type="dxa"/>
            <w:noWrap/>
            <w:vAlign w:val="center"/>
          </w:tcPr>
          <w:p w14:paraId="0B2D868E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2022330361002</w:t>
            </w:r>
          </w:p>
        </w:tc>
        <w:tc>
          <w:tcPr>
            <w:tcW w:w="2537" w:type="dxa"/>
            <w:noWrap/>
            <w:vAlign w:val="center"/>
          </w:tcPr>
          <w:p w14:paraId="74FB9575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22应用物理2班</w:t>
            </w:r>
          </w:p>
        </w:tc>
        <w:tc>
          <w:tcPr>
            <w:tcW w:w="1625" w:type="dxa"/>
            <w:noWrap/>
            <w:vAlign w:val="center"/>
          </w:tcPr>
          <w:p w14:paraId="1F97693B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13757183160</w:t>
            </w:r>
          </w:p>
        </w:tc>
        <w:tc>
          <w:tcPr>
            <w:tcW w:w="1791" w:type="dxa"/>
            <w:noWrap/>
            <w:vAlign w:val="center"/>
          </w:tcPr>
          <w:p w14:paraId="3C8FFBE4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周一晚10-12节</w:t>
            </w:r>
          </w:p>
        </w:tc>
      </w:tr>
      <w:tr w14:paraId="5C92C1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4C33A1DD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14:paraId="76B2439D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施雨岐</w:t>
            </w:r>
          </w:p>
        </w:tc>
        <w:tc>
          <w:tcPr>
            <w:tcW w:w="1722" w:type="dxa"/>
            <w:noWrap/>
            <w:vAlign w:val="center"/>
          </w:tcPr>
          <w:p w14:paraId="5A344A85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2023330300072</w:t>
            </w:r>
          </w:p>
        </w:tc>
        <w:tc>
          <w:tcPr>
            <w:tcW w:w="2537" w:type="dxa"/>
            <w:noWrap/>
            <w:vAlign w:val="center"/>
          </w:tcPr>
          <w:p w14:paraId="00DB5A64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23机械设计制造及其自动化2班</w:t>
            </w:r>
          </w:p>
        </w:tc>
        <w:tc>
          <w:tcPr>
            <w:tcW w:w="1625" w:type="dxa"/>
            <w:noWrap/>
            <w:vAlign w:val="center"/>
          </w:tcPr>
          <w:p w14:paraId="3A735228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18758874445</w:t>
            </w:r>
          </w:p>
        </w:tc>
        <w:tc>
          <w:tcPr>
            <w:tcW w:w="1791" w:type="dxa"/>
            <w:noWrap/>
            <w:vAlign w:val="center"/>
          </w:tcPr>
          <w:p w14:paraId="2E0896E2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周一晚10-12节</w:t>
            </w:r>
          </w:p>
        </w:tc>
      </w:tr>
      <w:tr w14:paraId="4AC543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00" w:type="dxa"/>
            <w:vMerge w:val="continue"/>
            <w:vAlign w:val="center"/>
          </w:tcPr>
          <w:p w14:paraId="2D5F4F9E">
            <w:pPr>
              <w:widowControl/>
              <w:jc w:val="center"/>
              <w:rPr>
                <w:rFonts w:ascii="宋体" w:hAnsi="Calibri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noWrap/>
            <w:vAlign w:val="center"/>
          </w:tcPr>
          <w:p w14:paraId="54822ED9"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高浩民</w:t>
            </w:r>
          </w:p>
        </w:tc>
        <w:tc>
          <w:tcPr>
            <w:tcW w:w="1722" w:type="dxa"/>
            <w:noWrap/>
            <w:vAlign w:val="center"/>
          </w:tcPr>
          <w:p w14:paraId="4924344C">
            <w:pPr>
              <w:widowControl/>
              <w:jc w:val="both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  <w:t>2023337621161</w:t>
            </w:r>
          </w:p>
        </w:tc>
        <w:tc>
          <w:tcPr>
            <w:tcW w:w="2537" w:type="dxa"/>
            <w:noWrap/>
            <w:vAlign w:val="center"/>
          </w:tcPr>
          <w:p w14:paraId="55E89AF0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23计科全英</w:t>
            </w:r>
          </w:p>
        </w:tc>
        <w:tc>
          <w:tcPr>
            <w:tcW w:w="1625" w:type="dxa"/>
            <w:noWrap/>
            <w:vAlign w:val="center"/>
          </w:tcPr>
          <w:p w14:paraId="26874EA0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18261672432</w:t>
            </w:r>
          </w:p>
        </w:tc>
        <w:tc>
          <w:tcPr>
            <w:tcW w:w="1791" w:type="dxa"/>
            <w:noWrap/>
            <w:vAlign w:val="center"/>
          </w:tcPr>
          <w:p w14:paraId="52077DFE">
            <w:pPr>
              <w:widowControl/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周一晚10-12节</w:t>
            </w:r>
          </w:p>
        </w:tc>
      </w:tr>
      <w:tr w14:paraId="1C2A2FB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34" w:type="dxa"/>
            <w:gridSpan w:val="2"/>
            <w:noWrap/>
            <w:vAlign w:val="center"/>
          </w:tcPr>
          <w:p w14:paraId="2FB474D3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/>
              </w:rPr>
              <w:t>指导教师</w:t>
            </w:r>
          </w:p>
        </w:tc>
        <w:tc>
          <w:tcPr>
            <w:tcW w:w="7675" w:type="dxa"/>
            <w:gridSpan w:val="4"/>
            <w:noWrap/>
            <w:vAlign w:val="center"/>
          </w:tcPr>
          <w:p w14:paraId="054EDC54"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张祖品</w:t>
            </w:r>
          </w:p>
        </w:tc>
      </w:tr>
    </w:tbl>
    <w:p w14:paraId="2A31368D"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79C865F9"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7654F397"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3A71876B"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 w14:paraId="6CCE7825">
      <w:pPr>
        <w:jc w:val="center"/>
        <w:rPr>
          <w:rFonts w:hint="default" w:ascii="黑体" w:hAnsi="黑体" w:eastAsia="黑体"/>
          <w:b/>
          <w:bCs/>
          <w:sz w:val="36"/>
          <w:szCs w:val="36"/>
          <w:lang w:val="en-US"/>
        </w:rPr>
      </w:pP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杭州地区军事战略地位分析及国防建设建议</w:t>
      </w:r>
    </w:p>
    <w:bookmarkEnd w:id="0"/>
    <w:p w14:paraId="5E3ADAD1"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一.引言</w:t>
      </w:r>
    </w:p>
    <w:p w14:paraId="45DF17E3">
      <w:pPr>
        <w:pStyle w:val="9"/>
        <w:spacing w:line="240" w:lineRule="auto"/>
        <w:ind w:left="0" w:leftChars="0" w:firstLine="420" w:firstLineChars="200"/>
        <w:jc w:val="left"/>
        <w:rPr>
          <w:rFonts w:hint="eastAsia" w:ascii="楷体" w:hAnsi="楷体" w:eastAsia="楷体" w:cs="楷体"/>
          <w:color w:val="auto"/>
        </w:rPr>
      </w:pPr>
      <w:r>
        <w:rPr>
          <w:rFonts w:hint="eastAsia" w:ascii="黑体" w:hAnsi="黑体" w:eastAsia="黑体"/>
        </w:rPr>
        <w:t>摘要：</w:t>
      </w:r>
      <w:r>
        <w:rPr>
          <w:rFonts w:hint="eastAsia" w:ascii="楷体" w:hAnsi="楷体" w:eastAsia="楷体" w:cs="楷体"/>
          <w:color w:val="auto"/>
          <w:lang w:val="en-US" w:eastAsia="zh-CN"/>
        </w:rPr>
        <w:t>杭州作为</w:t>
      </w:r>
      <w:r>
        <w:rPr>
          <w:rFonts w:hint="eastAsia" w:ascii="楷体" w:hAnsi="楷体" w:eastAsia="楷体" w:cs="楷体"/>
          <w:color w:val="auto"/>
        </w:rPr>
        <w:t>中国东南沿海的重要城市之一，</w:t>
      </w:r>
      <w:r>
        <w:rPr>
          <w:rFonts w:hint="eastAsia" w:ascii="楷体" w:hAnsi="楷体" w:eastAsia="楷体" w:cs="楷体"/>
        </w:rPr>
        <w:t>不仅在经济、科技和文化领域具有显著地位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其军事战略地位也日益凸显</w:t>
      </w:r>
      <w:r>
        <w:rPr>
          <w:rFonts w:hint="eastAsia" w:ascii="楷体" w:hAnsi="楷体" w:eastAsia="楷体" w:cs="楷体"/>
          <w:color w:val="auto"/>
        </w:rPr>
        <w:t>。‌杭州地处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9%95%BF%E6%B1%9F%E4%B8%89%E8%A7%92%E6%B4%B2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长江三角洲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南沿和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9%92%B1%E5%A1%98%E6%B1%9F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钱塘江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下游，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6%9D%AD%E5%B7%9E%E6%B9%BE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杭州湾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西端，是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6%B5%99%E6%B1%9F%E7%9C%81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浙江省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的政治、经济、文化、科教中心，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9%95%BF%E6%B1%9F%E4%B8%89%E8%A7%92%E6%B4%B2%E4%B8%AD%E5%BF%83%E5%9F%8E%E5%B8%82%E4%B9%8B%E4%B8%80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长江三角洲中心城市之一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。其战略位置重要，是</w:t>
      </w:r>
      <w:r>
        <w:rPr>
          <w:rFonts w:hint="eastAsia" w:ascii="楷体" w:hAnsi="楷体" w:eastAsia="楷体" w:cs="楷体"/>
          <w:color w:val="auto"/>
        </w:rPr>
        <w:fldChar w:fldCharType="begin"/>
      </w:r>
      <w:r>
        <w:rPr>
          <w:rFonts w:hint="eastAsia" w:ascii="楷体" w:hAnsi="楷体" w:eastAsia="楷体" w:cs="楷体"/>
          <w:color w:val="auto"/>
        </w:rPr>
        <w:instrText xml:space="preserve"> HYPERLINK "https://www.baidu.com/s?sa=re_dqa_generate&amp;wd=%E4%B8%AD%E5%9B%BD%E4%B8%9C%E9%83%A8%E6%88%98%E5%8C%BA&amp;rsv_pq=ab25a0d700002c82&amp;oq=%E6%9D%AD%E5%B7%9E%E5%9C%B0%E5%8C%BA%E5%86%9B%E4%BA%8B%E6%88%98%E7%95%A5%E5%9C%B0%E4%BD%8D%E5%88%86%E6%9E%90%E5%8F%8A%E5%9B%BD%E9%98%B2%E5%BB%BA%E8%AE%BE%E5%BB%BA%E8%AE%AE&amp;rsv_t=21f1LkrVBRI92Q89CcTp2raKlotnlCf0SP2YY8+r1cHxGsZ/eOfI8+7OhmxyE+8YP2hzQQ&amp;tn=15007414_1_pg&amp;ie=utf-8" \t "https://www.baidu.com/_blank" </w:instrText>
      </w:r>
      <w:r>
        <w:rPr>
          <w:rFonts w:hint="eastAsia" w:ascii="楷体" w:hAnsi="楷体" w:eastAsia="楷体" w:cs="楷体"/>
          <w:color w:val="auto"/>
        </w:rPr>
        <w:fldChar w:fldCharType="separate"/>
      </w:r>
      <w:r>
        <w:rPr>
          <w:rStyle w:val="6"/>
          <w:rFonts w:hint="eastAsia" w:ascii="楷体" w:hAnsi="楷体" w:eastAsia="楷体" w:cs="楷体"/>
          <w:i w:val="0"/>
          <w:iCs w:val="0"/>
          <w:caps w:val="0"/>
          <w:color w:val="auto"/>
          <w:spacing w:val="0"/>
          <w:szCs w:val="14"/>
          <w:u w:val="none"/>
          <w:shd w:val="clear" w:fill="FFFFFF"/>
        </w:rPr>
        <w:t>中国东部战区</w:t>
      </w:r>
      <w:r>
        <w:rPr>
          <w:rFonts w:hint="eastAsia" w:ascii="楷体" w:hAnsi="楷体" w:eastAsia="楷体" w:cs="楷体"/>
          <w:color w:val="auto"/>
        </w:rPr>
        <w:fldChar w:fldCharType="end"/>
      </w:r>
      <w:r>
        <w:rPr>
          <w:rFonts w:hint="eastAsia" w:ascii="楷体" w:hAnsi="楷体" w:eastAsia="楷体" w:cs="楷体"/>
          <w:color w:val="auto"/>
        </w:rPr>
        <w:t>的重要组成部分，对于维护国家安全和稳定具有重要作用‌。</w:t>
      </w:r>
    </w:p>
    <w:p w14:paraId="3A10A25B">
      <w:pPr>
        <w:pStyle w:val="9"/>
        <w:spacing w:line="240" w:lineRule="auto"/>
        <w:ind w:left="0" w:leftChars="0" w:firstLine="420" w:firstLineChars="200"/>
        <w:jc w:val="lef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</w:rPr>
        <w:t>‌杭州在国防建设方面已经取得了一系列成就，包括加强思想政治建设、深化练兵备战、谋划建设发展、深推整肃治理等。具体表现为转型建设迈出新的步伐、精神状态呈现新的面貌、建设发展焕发新的活力、政治建设取得新的成效、练兵备战达到新的高度、动员准备催生新的动能、依法治军踏上新的台阶、综合保障发挥新的效能、管党治党彰显新的气象、党管武装有了新的加强</w:t>
      </w:r>
      <w:r>
        <w:rPr>
          <w:rFonts w:hint="eastAsia" w:ascii="楷体" w:hAnsi="楷体" w:eastAsia="楷体" w:cs="楷体"/>
          <w:color w:val="auto"/>
          <w:lang w:val="en-US" w:eastAsia="zh-CN"/>
        </w:rPr>
        <w:t>等</w:t>
      </w:r>
      <w:r>
        <w:rPr>
          <w:rFonts w:hint="eastAsia" w:ascii="楷体" w:hAnsi="楷体" w:eastAsia="楷体" w:cs="楷体"/>
          <w:color w:val="auto"/>
          <w:lang w:eastAsia="zh-CN"/>
        </w:rPr>
        <w:t>。</w:t>
      </w:r>
    </w:p>
    <w:p w14:paraId="055BEEAC">
      <w:pPr>
        <w:pStyle w:val="9"/>
        <w:spacing w:line="240" w:lineRule="auto"/>
        <w:ind w:left="0" w:leftChars="0" w:firstLine="420" w:firstLineChars="200"/>
        <w:jc w:val="lef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</w:rPr>
        <w:t>随着国家安全形势的变化和区域安全需求的提升，深入了解杭州地区的军事设施、国防教育等情况，对于提升其国防实力和军事保障能力具有重要意义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也会</w:t>
      </w:r>
      <w:r>
        <w:rPr>
          <w:rFonts w:hint="eastAsia" w:ascii="楷体" w:hAnsi="楷体" w:eastAsia="楷体" w:cs="楷体"/>
          <w:lang w:eastAsia="zh-CN"/>
        </w:rPr>
        <w:t>为进一步提升杭州地区的国防实力和军事保障能力提供决策参考。</w:t>
      </w:r>
    </w:p>
    <w:p w14:paraId="01308DFF">
      <w:pPr>
        <w:pStyle w:val="9"/>
        <w:ind w:left="420" w:firstLine="0" w:firstLineChars="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关键词：</w:t>
      </w:r>
      <w:r>
        <w:rPr>
          <w:rFonts w:hint="eastAsia" w:ascii="楷体" w:hAnsi="楷体" w:eastAsia="楷体"/>
          <w:lang w:val="en-US" w:eastAsia="zh-CN"/>
        </w:rPr>
        <w:t>杭州</w:t>
      </w:r>
      <w:r>
        <w:rPr>
          <w:rFonts w:hint="eastAsia" w:ascii="楷体" w:hAnsi="楷体" w:eastAsia="楷体"/>
        </w:rPr>
        <w:t>、</w:t>
      </w:r>
      <w:r>
        <w:rPr>
          <w:rFonts w:hint="eastAsia" w:ascii="楷体" w:hAnsi="楷体" w:eastAsia="楷体"/>
          <w:lang w:val="en-US" w:eastAsia="zh-CN"/>
        </w:rPr>
        <w:t>军事战略地位、</w:t>
      </w:r>
      <w:r>
        <w:rPr>
          <w:rFonts w:hint="eastAsia" w:ascii="楷体" w:hAnsi="楷体" w:eastAsia="楷体"/>
        </w:rPr>
        <w:t>国</w:t>
      </w:r>
      <w:r>
        <w:rPr>
          <w:rFonts w:hint="eastAsia" w:ascii="楷体" w:hAnsi="楷体" w:eastAsia="楷体"/>
          <w:lang w:val="en-US" w:eastAsia="zh-CN"/>
        </w:rPr>
        <w:t>家</w:t>
      </w:r>
      <w:r>
        <w:rPr>
          <w:rFonts w:hint="eastAsia" w:ascii="楷体" w:hAnsi="楷体" w:eastAsia="楷体"/>
        </w:rPr>
        <w:t>政治军事形势、国防意识、爱国主义</w:t>
      </w:r>
    </w:p>
    <w:p w14:paraId="323B0A4A">
      <w:pPr>
        <w:jc w:val="left"/>
      </w:pPr>
    </w:p>
    <w:p w14:paraId="054FDC91">
      <w:pPr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二.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杭州地区的军事设施</w:t>
      </w:r>
    </w:p>
    <w:p w14:paraId="17EF1B1F">
      <w:pPr>
        <w:spacing w:line="360" w:lineRule="auto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ascii="黑体" w:hAnsi="黑体" w:eastAsia="黑体"/>
          <w:sz w:val="24"/>
          <w:szCs w:val="24"/>
        </w:rPr>
        <w:t>.1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军队驻地</w:t>
      </w:r>
    </w:p>
    <w:p w14:paraId="2B4BD5D8"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陆军部队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杭州周边有多支陆军部队，负责区域防御和快速反应，保障地方安全。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如：</w:t>
      </w:r>
    </w:p>
    <w:p w14:paraId="4452AD27"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中国人民解放军浙江省杭州警备区（原杭州军分区）：1960年9月由杭州市人民武装部改编成立，历经多次更名，最终在2004年12月定名为杭州警备区，现隶属浙江省军区建制。如今，作为杭州市的军事指挥机关，主要负责杭州市的警备任务，是保卫杭州地区安全的重要力量。</w:t>
      </w:r>
    </w:p>
    <w:p w14:paraId="1DE23E22"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余杭区人民武装部：这是中国人民解放军在浙江省杭州市余杭区设立的人民武装部，负责该区域的军事工作和民兵、预备役等工作。</w:t>
      </w:r>
    </w:p>
    <w:p w14:paraId="566CD0E2"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24BB800D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空军基地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杭州地区设有空军基地笕桥机场，承担空中防御和支援任务，保障空域安全。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它</w:t>
      </w:r>
      <w:r>
        <w:rPr>
          <w:rFonts w:hint="eastAsia" w:ascii="仿宋" w:hAnsi="仿宋" w:eastAsia="仿宋" w:cs="仿宋"/>
          <w:sz w:val="24"/>
          <w:szCs w:val="24"/>
        </w:rPr>
        <w:t>是杭州地区的一个重要军用机场，也是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中央航校</w:t>
      </w:r>
      <w:r>
        <w:rPr>
          <w:rFonts w:hint="eastAsia" w:ascii="仿宋" w:hAnsi="仿宋" w:eastAsia="仿宋" w:cs="仿宋"/>
          <w:sz w:val="24"/>
          <w:szCs w:val="24"/>
        </w:rPr>
        <w:t>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所在地</w:t>
      </w:r>
      <w:r>
        <w:rPr>
          <w:rFonts w:hint="eastAsia" w:ascii="仿宋" w:hAnsi="仿宋" w:eastAsia="仿宋" w:cs="仿宋"/>
          <w:sz w:val="24"/>
          <w:szCs w:val="24"/>
        </w:rPr>
        <w:t>和抗战时期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飞虎队</w:t>
      </w:r>
      <w:r>
        <w:rPr>
          <w:rFonts w:hint="eastAsia" w:ascii="仿宋" w:hAnsi="仿宋" w:eastAsia="仿宋" w:cs="仿宋"/>
          <w:sz w:val="24"/>
          <w:szCs w:val="24"/>
        </w:rPr>
        <w:t>的作战基地。</w:t>
      </w:r>
    </w:p>
    <w:p w14:paraId="3EF7C890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该机场历史上曾参与多次重大战役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如：</w:t>
      </w:r>
      <w:r>
        <w:rPr>
          <w:rFonts w:hint="eastAsia" w:ascii="仿宋" w:hAnsi="仿宋" w:eastAsia="仿宋" w:cs="仿宋"/>
          <w:sz w:val="24"/>
          <w:szCs w:val="24"/>
        </w:rPr>
        <w:t>淞沪会战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南京保卫战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“八一四”空战（即1937年8月14日在杭州湾上空发生的中日空中对抗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 w:cs="仿宋"/>
          <w:sz w:val="24"/>
          <w:szCs w:val="24"/>
        </w:rPr>
        <w:t>在这些战役中，笕桥机场都扮演了重要的角色，特别是“八一四”空战，这是中国空军在抗日战争中取得的第一个胜利，并在新中国成立后继续承担着空军训练、试验和防空等任务。目前，笕桥机场仍有战斗机进行日常飞行训练，是杭州地区空军力量的重要展示和国防建设的重要体现。</w:t>
      </w:r>
    </w:p>
    <w:p w14:paraId="7E0F013B">
      <w:pPr>
        <w:bidi w:val="0"/>
        <w:spacing w:line="360" w:lineRule="auto"/>
        <w:rPr>
          <w:rFonts w:hint="eastAsia" w:ascii="仿宋" w:hAnsi="仿宋" w:eastAsia="仿宋" w:cs="仿宋"/>
          <w:sz w:val="24"/>
          <w:szCs w:val="24"/>
        </w:rPr>
      </w:pPr>
    </w:p>
    <w:p w14:paraId="3F4BFBAC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海军设施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杭州设有</w:t>
      </w:r>
      <w:r>
        <w:rPr>
          <w:rFonts w:hint="eastAsia" w:ascii="仿宋" w:hAnsi="仿宋" w:eastAsia="仿宋" w:cs="仿宋"/>
          <w:sz w:val="24"/>
          <w:szCs w:val="24"/>
        </w:rPr>
        <w:t>136杭州舰驻地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136杭州舰隶属于东部战区海军驱逐舰第三支队，是俄制“现代”级956E型导弹驱逐舰，经过现代化改造后，提升了作战能力。</w:t>
      </w:r>
    </w:p>
    <w:p w14:paraId="032AC6E2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设有</w:t>
      </w:r>
      <w:r>
        <w:rPr>
          <w:rFonts w:hint="eastAsia" w:ascii="仿宋" w:hAnsi="仿宋" w:eastAsia="仿宋" w:cs="仿宋"/>
          <w:sz w:val="24"/>
          <w:szCs w:val="24"/>
        </w:rPr>
        <w:t>海军杭州疗养院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也称为杭州海勤疗养院，始建于1953年，是中国人民解放军高级干部和海军飞行、潜艇等特勤人员的疗养康复及体检鉴定中心。</w:t>
      </w:r>
    </w:p>
    <w:p w14:paraId="3AD02180">
      <w:pPr>
        <w:spacing w:line="360" w:lineRule="auto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ascii="黑体" w:hAnsi="黑体" w:eastAsia="黑体"/>
          <w:sz w:val="24"/>
          <w:szCs w:val="24"/>
        </w:rPr>
        <w:t>2.2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军事科研机构</w:t>
      </w:r>
    </w:p>
    <w:p w14:paraId="06006B2E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杭州地区还拥有一些军工企业，涉及武器装备的研发、生产和维护。这些企业不仅为军队提供了现代化的装备，也为地方经济发展注入了活力。</w:t>
      </w:r>
    </w:p>
    <w:p w14:paraId="25DAEF4F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中国船舶集团第七一五研究所：专业从事声学、光学、磁学探测设备的研发，是国内规模最大、技术力量雄厚的水声装备研究所。</w:t>
      </w:r>
    </w:p>
    <w:p w14:paraId="53B64244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中国电子科技集团公司第五十二研究所：专注于计算机信息存储技术研究、产品开发与生产，在数字安防等领域处于领先地位。</w:t>
      </w:r>
    </w:p>
    <w:p w14:paraId="38AAF66C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杭州应用声学研究所：是我国最早从事水声科技和装备研制生产的重点军工骨干研究所，隶属于中国船舶集团有限公司。</w:t>
      </w:r>
    </w:p>
    <w:p w14:paraId="6121166E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中国电建集团华东勘测设计研究院有限公司：是中国电力建设集团下属的特级企业，为国家提供了大量的甲级勘测设计研究服务。</w:t>
      </w:r>
    </w:p>
    <w:p w14:paraId="348C7BBD"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2.3</w:t>
      </w:r>
      <w:r>
        <w:rPr>
          <w:rFonts w:hint="eastAsia" w:ascii="黑体" w:hAnsi="黑体" w:eastAsia="黑体" w:cs="黑体"/>
          <w:sz w:val="24"/>
          <w:szCs w:val="24"/>
        </w:rPr>
        <w:t>后勤保障设施</w:t>
      </w:r>
    </w:p>
    <w:p w14:paraId="6720B57F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物资储备基地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杭州地区设有后勤保障中心，负责物资的储备和分配，确保部队在战时的后勤支持。</w:t>
      </w:r>
    </w:p>
    <w:p w14:paraId="1430A159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医疗设施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区域内有军事医院和急救中心，为驻军和地方居民提供医疗保障。</w:t>
      </w:r>
    </w:p>
    <w:p w14:paraId="0014FD89">
      <w:pPr>
        <w:bidi w:val="0"/>
        <w:spacing w:line="360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2.4</w:t>
      </w:r>
      <w:r>
        <w:rPr>
          <w:rFonts w:hint="eastAsia" w:ascii="黑体" w:hAnsi="黑体" w:eastAsia="黑体" w:cs="黑体"/>
          <w:sz w:val="24"/>
          <w:szCs w:val="24"/>
        </w:rPr>
        <w:t>指挥控制中心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以及</w:t>
      </w:r>
      <w:r>
        <w:rPr>
          <w:rFonts w:hint="eastAsia" w:ascii="黑体" w:hAnsi="黑体" w:eastAsia="黑体" w:cs="黑体"/>
          <w:sz w:val="24"/>
          <w:szCs w:val="24"/>
        </w:rPr>
        <w:t>网络信息战设施</w:t>
      </w:r>
    </w:p>
    <w:p w14:paraId="628E491E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指挥所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杭州设有多个军事指挥控制中心，负责区域内的军事指挥与协调，确保信息的快速传递和决策的高效执行。</w:t>
      </w:r>
    </w:p>
    <w:p w14:paraId="74BD306D">
      <w:pPr>
        <w:bidi w:val="0"/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网络安全中心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针对现代战争的特点，杭州地区设有网络安全和信息战相关的设施，保障军事信息的安全和畅通。</w:t>
      </w:r>
    </w:p>
    <w:p w14:paraId="46D287A2"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黑体" w:hAnsi="黑体" w:eastAsia="黑体"/>
          <w:sz w:val="28"/>
          <w:szCs w:val="28"/>
        </w:rPr>
        <w:t>三</w:t>
      </w:r>
      <w:r>
        <w:rPr>
          <w:rFonts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国防教育现状</w:t>
      </w:r>
    </w:p>
    <w:p w14:paraId="5352FC11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国防教育是增强国家安全意识、提高公民国防素养的重要途径。杭州作为我国经济、科技和文化的重要中心，其国防教育体系逐步完善，涵盖了多层次、多领域的教育内容。以下是杭州国防教育现状的几个主要方面。</w:t>
      </w:r>
    </w:p>
    <w:p w14:paraId="40A92353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教育体系：</w:t>
      </w:r>
      <w:r>
        <w:rPr>
          <w:rFonts w:hint="eastAsia" w:ascii="仿宋" w:hAnsi="仿宋" w:eastAsia="仿宋" w:cs="仿宋"/>
          <w:sz w:val="24"/>
          <w:szCs w:val="24"/>
        </w:rPr>
        <w:t>杭州地区的国防教育体系逐渐完善，涵盖了从小学到大学的各个教育阶段。各级学校在课程中逐步融入国防教育内容，提高学生的国防意识和安全意识。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一部分</w:t>
      </w:r>
      <w:r>
        <w:rPr>
          <w:rFonts w:hint="eastAsia" w:ascii="仿宋" w:hAnsi="仿宋" w:eastAsia="仿宋" w:cs="仿宋"/>
          <w:sz w:val="24"/>
          <w:szCs w:val="24"/>
        </w:rPr>
        <w:t>高等院校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还</w:t>
      </w:r>
      <w:r>
        <w:rPr>
          <w:rFonts w:hint="eastAsia" w:ascii="仿宋" w:hAnsi="仿宋" w:eastAsia="仿宋" w:cs="仿宋"/>
          <w:sz w:val="24"/>
          <w:szCs w:val="24"/>
        </w:rPr>
        <w:t>设立了国防教育相关课程，培养学生的国防意识和军事素养。一些高校还与军队合作，开展军事训练和国防科技研究，促进国防教育与科技创新的结合。</w:t>
      </w:r>
    </w:p>
    <w:p w14:paraId="2EE67CC9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社会宣传：</w:t>
      </w:r>
      <w:r>
        <w:rPr>
          <w:rFonts w:hint="eastAsia" w:ascii="仿宋" w:hAnsi="仿宋" w:eastAsia="仿宋" w:cs="仿宋"/>
          <w:sz w:val="24"/>
          <w:szCs w:val="24"/>
        </w:rPr>
        <w:t>杭州地方政府和相关部门定期举办国防宣传周、国防知识竞赛、军事夏令营等活动，吸引公众参与，增强国防意识。通过多种媒体渠道（如电视、网络、报纸等）发布国防知识宣传，扩大国防教育的覆盖面。</w:t>
      </w:r>
    </w:p>
    <w:p w14:paraId="013BBC27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军民融合：</w:t>
      </w:r>
      <w:r>
        <w:rPr>
          <w:rFonts w:hint="eastAsia" w:ascii="仿宋" w:hAnsi="仿宋" w:eastAsia="仿宋" w:cs="仿宋"/>
          <w:sz w:val="24"/>
          <w:szCs w:val="24"/>
        </w:rPr>
        <w:t>杭州地区还积极推动军民融合发展，鼓励地方企业参与国防建设，推动科技成果转化，提升国防科技水平。通过技术交流、资源共享等方式，提升公众的国防参与感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仿宋"/>
          <w:sz w:val="24"/>
          <w:szCs w:val="24"/>
        </w:rPr>
        <w:t>在一些社区和企业中，组织国防教育讲座和军事技能培训，增强居民的国防意识和应急能力。</w:t>
      </w:r>
    </w:p>
    <w:p w14:paraId="230750BD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同时，我们采用问卷填写的形式了解了国防教育的现状，：</w:t>
      </w:r>
    </w:p>
    <w:p w14:paraId="09DEC041"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3.1国防教育重要性认知</w:t>
      </w:r>
    </w:p>
    <w:p w14:paraId="1C03D53F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调查结果显示，高达95.65%的受访者认为国防教育非常重要，仅有4.35%的受访者认为其不太重要。这一数据表明，杭州市民普遍对国防教育持有高度认可的态度。</w:t>
      </w:r>
    </w:p>
    <w:p w14:paraId="7D640BE1"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3.2杭州地区国防教育资源了解程度</w:t>
      </w:r>
    </w:p>
    <w:p w14:paraId="3302CCD6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然而，在了解杭州地区国防教育资源方面，受访者的认知程度普遍较低。仅有4.35%的受访者表示非常了解，而大部分受访者（85.22%）表示不太了解或完全不了解。这反映出杭州在国防教育资源的普及和宣传方面存在不足。</w:t>
      </w:r>
    </w:p>
    <w:p w14:paraId="794A4B73">
      <w:pPr>
        <w:spacing w:line="360" w:lineRule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3.3国防教育了解渠道</w:t>
      </w:r>
    </w:p>
    <w:p w14:paraId="64F2A3D2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受访者了解国防教育的渠道较为多样，包括学校课程、社区活动、媒体报道和网络平台等。其中，学校课程和媒体报道是受访者获取国防教育信息的主要途径。</w:t>
      </w:r>
    </w:p>
    <w:p w14:paraId="68E7596A"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3.4杭州地区主要军事设施知晓度</w:t>
      </w:r>
    </w:p>
    <w:p w14:paraId="31D3AA29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对于杭州地区的主要军事设施，受访者的知晓度普遍较低。仅有10.87%的受访者表示知道，而大部分受访者（89.13%）表示不知道。这进一步说明杭州在国防教育方面的宣传普及工作还有待加强。</w:t>
      </w:r>
    </w:p>
    <w:p w14:paraId="19BD7CDD"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3.5国防教育活动参与情况</w:t>
      </w:r>
    </w:p>
    <w:p w14:paraId="2549545D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在参与国防教育活动方面，受访者的参与度普遍较低。高达89.13%的受访者表示没有参加过国防教育活动。这反映出杭州市在国防教育活动的组织和推广方面存在不足。</w:t>
      </w:r>
    </w:p>
    <w:p w14:paraId="5ECA2648"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3.6国防教育改进建议</w:t>
      </w:r>
    </w:p>
    <w:p w14:paraId="6B42080F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受访者对于如何改进国防教育提出了多种建议，包括增加宣传力度、丰富教育内容、创新教育形式和扩大教育覆盖等。这些建议为进一步提升杭州市国防教育水平提供了有益的参考。</w:t>
      </w:r>
    </w:p>
    <w:p w14:paraId="663D44AF">
      <w:pPr>
        <w:spacing w:line="360" w:lineRule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3.7受访者特征分析</w:t>
      </w:r>
    </w:p>
    <w:p w14:paraId="44C5C4BC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本次调查的受访者均为18-30岁的年轻人，且均来自学校。这一特征可能对问卷结果产生一定影响，但也在一定程度上反映了杭州市年轻一代对国防教育的认知和态度。</w:t>
      </w:r>
    </w:p>
    <w:p w14:paraId="75876D30">
      <w:pPr>
        <w:tabs>
          <w:tab w:val="left" w:pos="473"/>
        </w:tabs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3.8结论与建议</w:t>
      </w:r>
    </w:p>
    <w:p w14:paraId="46049981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综上所述，杭州市民对国防教育持有高度认可的态度，但在国防教育资源的了解、活动参与等方面存在不足。为进一步提升杭州市国防教育水平，建议采取以下措施：</w:t>
      </w:r>
    </w:p>
    <w:p w14:paraId="4C4E62B0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加强国防教育资源的普及和宣传，提高市民对国防教育的认知程度；</w:t>
      </w:r>
    </w:p>
    <w:p w14:paraId="0FFC057A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组织丰富多彩的国防教育活动，吸引更多市民参与；</w:t>
      </w:r>
    </w:p>
    <w:p w14:paraId="5D4AC4A1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创新国防教育形式和内容，提高教育的针对性和实效性；</w:t>
      </w:r>
    </w:p>
    <w:p w14:paraId="0E32CE7D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扩大国防教育的覆盖范围，特别是加强对年轻一代的教育和引导。</w:t>
      </w:r>
    </w:p>
    <w:p w14:paraId="18A39E64">
      <w:pPr>
        <w:spacing w:line="360" w:lineRule="auto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通过以上措施的实施，相信可以进一步提升杭州市国防教育水平，为国家的安全和发展做出更大的贡献。</w:t>
      </w:r>
    </w:p>
    <w:p w14:paraId="48C9CCCA">
      <w:pPr>
        <w:numPr>
          <w:ilvl w:val="0"/>
          <w:numId w:val="1"/>
        </w:numPr>
        <w:spacing w:line="360" w:lineRule="auto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国防教育基地实地考察</w:t>
      </w:r>
    </w:p>
    <w:p w14:paraId="25DF0D0A">
      <w:pPr>
        <w:bidi w:val="0"/>
        <w:spacing w:line="360" w:lineRule="auto"/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同时，我们也对萧山区花木城国防教育基地进行了实地考察，里面有一些1：1或者等比缩小的军事模型，歼-10，歼-20等战斗机，武直-10直升机，99a主战坦克，东风-21d导弹发射车，92a六轮步战车等坦克装甲车，红旗2、3号地空导弹等等。这些装备不仅展示了我国国防科技的雄厚实力，也让我们对国家的未来充满了信心。我深刻体会到了科技在国防建设中的重要作用，它不仅是提升战斗力的重要手段，更是保障国家安全的重要保障。同时，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们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感受到了国防教育的重要性。通过参观各种军事设施和装备，我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们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了解到国防是保障国家安全、维护社会稳定的重要基石。这让我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们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更加明白，每一个公民都应该增强国防意识，关注国家安全，为国家的繁荣富强贡献自己的力量。</w:t>
      </w:r>
    </w:p>
    <w:p w14:paraId="5B3284EC">
      <w:pPr>
        <w:spacing w:line="360" w:lineRule="auto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五</w:t>
      </w:r>
      <w:r>
        <w:rPr>
          <w:rFonts w:hint="eastAsia"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杭州地区国防建设的挑战</w:t>
      </w:r>
    </w:p>
    <w:p w14:paraId="1E39087B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</w:t>
      </w:r>
      <w:r>
        <w:rPr>
          <w:rFonts w:hint="eastAsia" w:ascii="仿宋" w:hAnsi="仿宋" w:eastAsia="仿宋" w:cs="仿宋"/>
          <w:sz w:val="24"/>
          <w:szCs w:val="24"/>
        </w:rPr>
        <w:t>地理位置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角度，</w:t>
      </w:r>
      <w:r>
        <w:rPr>
          <w:rFonts w:hint="eastAsia" w:ascii="仿宋" w:hAnsi="仿宋" w:eastAsia="仿宋" w:cs="仿宋"/>
          <w:sz w:val="24"/>
          <w:szCs w:val="24"/>
        </w:rPr>
        <w:t>尽管杭州地理位置优越，但相对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于</w:t>
      </w:r>
      <w:r>
        <w:rPr>
          <w:rFonts w:hint="eastAsia" w:ascii="仿宋" w:hAnsi="仿宋" w:eastAsia="仿宋" w:cs="仿宋"/>
          <w:sz w:val="24"/>
          <w:szCs w:val="24"/>
        </w:rPr>
        <w:t>周边的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一些</w:t>
      </w:r>
      <w:r>
        <w:rPr>
          <w:rFonts w:hint="eastAsia" w:ascii="仿宋" w:hAnsi="仿宋" w:eastAsia="仿宋" w:cs="仿宋"/>
          <w:sz w:val="24"/>
          <w:szCs w:val="24"/>
        </w:rPr>
        <w:t>军事重镇，其军事设施和资源配置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仍然略</w:t>
      </w:r>
      <w:r>
        <w:rPr>
          <w:rFonts w:hint="eastAsia" w:ascii="仿宋" w:hAnsi="仿宋" w:eastAsia="仿宋" w:cs="仿宋"/>
          <w:sz w:val="24"/>
          <w:szCs w:val="24"/>
        </w:rPr>
        <w:t>显不足，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且</w:t>
      </w:r>
      <w:r>
        <w:rPr>
          <w:rFonts w:hint="eastAsia" w:ascii="仿宋" w:hAnsi="仿宋" w:eastAsia="仿宋" w:cs="仿宋"/>
          <w:sz w:val="24"/>
          <w:szCs w:val="24"/>
        </w:rPr>
        <w:t>面临一定的安全隐患。</w:t>
      </w:r>
    </w:p>
    <w:p w14:paraId="3C49A7B9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从当地人才角度，杭州</w:t>
      </w:r>
      <w:r>
        <w:rPr>
          <w:rFonts w:hint="eastAsia" w:ascii="仿宋" w:hAnsi="仿宋" w:eastAsia="仿宋" w:cs="仿宋"/>
          <w:sz w:val="24"/>
          <w:szCs w:val="24"/>
        </w:rPr>
        <w:t>高素质的军事人才和国防科技人才依然不足，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这也</w:t>
      </w:r>
      <w:r>
        <w:rPr>
          <w:rFonts w:hint="eastAsia" w:ascii="仿宋" w:hAnsi="仿宋" w:eastAsia="仿宋" w:cs="仿宋"/>
          <w:sz w:val="24"/>
          <w:szCs w:val="24"/>
        </w:rPr>
        <w:t>限制了国防科研和建设的进一步发展。</w:t>
      </w:r>
    </w:p>
    <w:p w14:paraId="09563C7B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</w:t>
      </w:r>
      <w:r>
        <w:rPr>
          <w:rFonts w:hint="eastAsia" w:ascii="仿宋" w:hAnsi="仿宋" w:eastAsia="仿宋" w:cs="仿宋"/>
          <w:sz w:val="24"/>
          <w:szCs w:val="24"/>
        </w:rPr>
        <w:t>公众意识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角度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 w:cs="仿宋"/>
          <w:sz w:val="24"/>
          <w:szCs w:val="24"/>
        </w:rPr>
        <w:t>尽管国防教育有所加强，但公众的国防意识和参与度仍需提升，特别是在青年群体中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尤其严重。</w:t>
      </w:r>
    </w:p>
    <w:p w14:paraId="3F9871C3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</w:t>
      </w:r>
      <w:r>
        <w:rPr>
          <w:rFonts w:hint="eastAsia" w:ascii="仿宋" w:hAnsi="仿宋" w:eastAsia="仿宋" w:cs="仿宋"/>
          <w:sz w:val="24"/>
          <w:szCs w:val="24"/>
        </w:rPr>
        <w:t>资源配置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角度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在不同学校和地区之间，国防教育的资源配置和师资力量存在差异，部分学校的国防教育课程和活动相对薄弱。</w:t>
      </w:r>
    </w:p>
    <w:p w14:paraId="3FAB904D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</w:t>
      </w:r>
      <w:r>
        <w:rPr>
          <w:rFonts w:hint="eastAsia" w:ascii="仿宋" w:hAnsi="仿宋" w:eastAsia="仿宋" w:cs="仿宋"/>
          <w:sz w:val="24"/>
          <w:szCs w:val="24"/>
        </w:rPr>
        <w:t>教育内容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角度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随着国际形势的变化，国防教育的内容需要不断更新，以适应新的安全形势和公众需求。</w:t>
      </w:r>
    </w:p>
    <w:p w14:paraId="760A8058">
      <w:pPr>
        <w:jc w:val="left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六</w:t>
      </w:r>
      <w:r>
        <w:rPr>
          <w:rFonts w:hint="eastAsia"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提升国防实力的建议</w:t>
      </w:r>
    </w:p>
    <w:p w14:paraId="7F401C69">
      <w:pPr>
        <w:spacing w:line="360" w:lineRule="auto"/>
        <w:ind w:firstLine="480" w:firstLineChars="200"/>
        <w:jc w:val="lef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加强基础设施建设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建议加大对军事设施的投入，尤其是现代化训练基地和应急响应中心的建设，以提升部队的快速反应能力和实战水平。</w:t>
      </w:r>
    </w:p>
    <w:p w14:paraId="5E2A5AD0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国防教育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在各级学校中进一步加强国防教育，特别是通过实践活动增强学生的参与感和责任感。同时，利用新媒体平台，开展线上国防知识普及活动，扩大影响力。</w:t>
      </w:r>
    </w:p>
    <w:p w14:paraId="2108CEB6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鼓励军民融合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推动地方企业与军队的合作，鼓励科技创新，促进军民资源的共享和利用，提升国防科技水平。</w:t>
      </w:r>
    </w:p>
    <w:p w14:paraId="1A54C9BF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建立人才培养机制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与高等院校合作，设立国防相关专业，培养高素质的军事和国防科技人才。同时，鼓励退役军人参与地方经济建设，发挥其专业技能。</w:t>
      </w:r>
    </w:p>
    <w:p w14:paraId="131382CC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加强国际交流与合作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 w:cs="仿宋"/>
          <w:sz w:val="24"/>
          <w:szCs w:val="24"/>
        </w:rPr>
        <w:t>在确保国家安全的前提下，积极参与国际军事交流与合作，借鉴其他国家的先进经验，提升自身的国防能力。</w:t>
      </w:r>
    </w:p>
    <w:p w14:paraId="508C67ED"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/>
          <w:sz w:val="28"/>
          <w:szCs w:val="28"/>
        </w:rPr>
        <w:t>、总结</w:t>
      </w:r>
    </w:p>
    <w:p w14:paraId="5E61C1A4">
      <w:pPr>
        <w:spacing w:line="360" w:lineRule="auto"/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杭州的国防教育现状在不断发展中，虽然取得了一定的成效，但仍面临一些挑战。通过完善教育体系、加强社会宣传、推动军民融合和培养专业人才，可以有效提升杭州地区的国防教育水平，增强公众的国防意识，为国家安全和区域稳定贡献力量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同时杭</w:t>
      </w:r>
      <w:r>
        <w:rPr>
          <w:rFonts w:hint="eastAsia" w:ascii="仿宋" w:hAnsi="仿宋" w:eastAsia="仿宋" w:cs="仿宋"/>
          <w:sz w:val="24"/>
          <w:szCs w:val="24"/>
        </w:rPr>
        <w:t>州地区作为我国经济、科技和文化的重要中心，其军事战略地位不容忽视。通过加强军事设施建设、强化国防教育、推动军民融合、建立人才培养机制以及加强国际交流与合作，可以有效提升杭州地区的国防实力和军事保障能力，为国家安全和区域稳定贡献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E24913"/>
    <w:multiLevelType w:val="singleLevel"/>
    <w:tmpl w:val="2AE2491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MzVlZTIxZmFjMTM5Njk4ODc0YWVhNzAxOTZlMjQifQ=="/>
  </w:docVars>
  <w:rsids>
    <w:rsidRoot w:val="008E50B6"/>
    <w:rsid w:val="000265C2"/>
    <w:rsid w:val="0009543A"/>
    <w:rsid w:val="000E033E"/>
    <w:rsid w:val="001265C3"/>
    <w:rsid w:val="001D0342"/>
    <w:rsid w:val="001F3D99"/>
    <w:rsid w:val="00225413"/>
    <w:rsid w:val="002B0DF1"/>
    <w:rsid w:val="002D1EFB"/>
    <w:rsid w:val="002E2334"/>
    <w:rsid w:val="00360A2C"/>
    <w:rsid w:val="003A0159"/>
    <w:rsid w:val="003C3C66"/>
    <w:rsid w:val="003F3990"/>
    <w:rsid w:val="00434C6E"/>
    <w:rsid w:val="004C7572"/>
    <w:rsid w:val="00571974"/>
    <w:rsid w:val="00672359"/>
    <w:rsid w:val="007C5D40"/>
    <w:rsid w:val="007D24A8"/>
    <w:rsid w:val="008A3D78"/>
    <w:rsid w:val="008E50B6"/>
    <w:rsid w:val="008F16AE"/>
    <w:rsid w:val="009549CE"/>
    <w:rsid w:val="009D24AC"/>
    <w:rsid w:val="009E70F5"/>
    <w:rsid w:val="00A27475"/>
    <w:rsid w:val="00A31177"/>
    <w:rsid w:val="00A636C2"/>
    <w:rsid w:val="00AC1222"/>
    <w:rsid w:val="00AE1355"/>
    <w:rsid w:val="00BB7C8E"/>
    <w:rsid w:val="00BC4DBA"/>
    <w:rsid w:val="00BF1C66"/>
    <w:rsid w:val="00C04953"/>
    <w:rsid w:val="00C108E1"/>
    <w:rsid w:val="00C14434"/>
    <w:rsid w:val="00C5060B"/>
    <w:rsid w:val="00CE2412"/>
    <w:rsid w:val="00CF5500"/>
    <w:rsid w:val="00D32FC6"/>
    <w:rsid w:val="00DE40EC"/>
    <w:rsid w:val="00E87097"/>
    <w:rsid w:val="00EC3240"/>
    <w:rsid w:val="00EE5B39"/>
    <w:rsid w:val="00F410F7"/>
    <w:rsid w:val="00F42955"/>
    <w:rsid w:val="00F44EA3"/>
    <w:rsid w:val="00F45BA9"/>
    <w:rsid w:val="00F74EE8"/>
    <w:rsid w:val="00F75176"/>
    <w:rsid w:val="00FD3140"/>
    <w:rsid w:val="00FE2FFA"/>
    <w:rsid w:val="022573A2"/>
    <w:rsid w:val="024B505A"/>
    <w:rsid w:val="0CE02843"/>
    <w:rsid w:val="0D7D62E4"/>
    <w:rsid w:val="0DC3019B"/>
    <w:rsid w:val="0FA83AEC"/>
    <w:rsid w:val="103C4234"/>
    <w:rsid w:val="13A6716A"/>
    <w:rsid w:val="13DD7ADC"/>
    <w:rsid w:val="14117786"/>
    <w:rsid w:val="1991739F"/>
    <w:rsid w:val="1A073140"/>
    <w:rsid w:val="1A6745A4"/>
    <w:rsid w:val="1E0F11DA"/>
    <w:rsid w:val="1E4A518B"/>
    <w:rsid w:val="206A094A"/>
    <w:rsid w:val="22AE0FC2"/>
    <w:rsid w:val="2366189C"/>
    <w:rsid w:val="26094761"/>
    <w:rsid w:val="29192F0D"/>
    <w:rsid w:val="292F1638"/>
    <w:rsid w:val="29477A7A"/>
    <w:rsid w:val="2E0F2B31"/>
    <w:rsid w:val="2F2919D0"/>
    <w:rsid w:val="378606F1"/>
    <w:rsid w:val="3A152F66"/>
    <w:rsid w:val="3B2A0FAA"/>
    <w:rsid w:val="3C9D31C6"/>
    <w:rsid w:val="3F650365"/>
    <w:rsid w:val="3F9966FE"/>
    <w:rsid w:val="40C81C9B"/>
    <w:rsid w:val="4AC07235"/>
    <w:rsid w:val="4CA87F80"/>
    <w:rsid w:val="4D44414D"/>
    <w:rsid w:val="4E4C150B"/>
    <w:rsid w:val="4F2A7373"/>
    <w:rsid w:val="4FB70C06"/>
    <w:rsid w:val="52AB6C4B"/>
    <w:rsid w:val="545729B8"/>
    <w:rsid w:val="54BA4CF5"/>
    <w:rsid w:val="5AAE5854"/>
    <w:rsid w:val="5AC95C92"/>
    <w:rsid w:val="5AE825BC"/>
    <w:rsid w:val="5B6333EA"/>
    <w:rsid w:val="5CC44962"/>
    <w:rsid w:val="61DC44FC"/>
    <w:rsid w:val="65AA4ACE"/>
    <w:rsid w:val="6C21592D"/>
    <w:rsid w:val="6E1F5E9D"/>
    <w:rsid w:val="73A0182E"/>
    <w:rsid w:val="749E259E"/>
    <w:rsid w:val="767172B9"/>
    <w:rsid w:val="7E123328"/>
    <w:rsid w:val="7F7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4164</Words>
  <Characters>4320</Characters>
  <Lines>31</Lines>
  <Paragraphs>8</Paragraphs>
  <TotalTime>120</TotalTime>
  <ScaleCrop>false</ScaleCrop>
  <LinksUpToDate>false</LinksUpToDate>
  <CharactersWithSpaces>4325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2023-12-15T16:45:00Z</dcterms:created>
  <dc:creator>neilchole XDM</dc:creator>
  <cp:lastModifiedBy>female celestial</cp:lastModifiedBy>
  <dcterms:modified xsi:type="dcterms:W3CDTF">2024-10-18T08:44:26Z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5BC2A12139A44A778397B3BEE86213B2_13</vt:lpwstr>
  </property>
</Properties>
</file>