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872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bCs/>
          <w:kern w:val="2"/>
          <w:sz w:val="21"/>
          <w:szCs w:val="44"/>
          <w:lang w:val="en-US" w:eastAsia="zh-CN" w:bidi="ar-SA"/>
        </w:rPr>
      </w:sdtEndPr>
      <w:sdtContent>
        <w:p w14:paraId="1196293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52"/>
              <w:szCs w:val="52"/>
            </w:rPr>
          </w:pPr>
          <w:r>
            <w:rPr>
              <w:rFonts w:hint="eastAsia" w:ascii="黑体" w:hAnsi="黑体" w:eastAsia="黑体" w:cs="黑体"/>
              <w:sz w:val="52"/>
              <w:szCs w:val="52"/>
            </w:rPr>
            <w:t>目</w:t>
          </w:r>
          <w:r>
            <w:rPr>
              <w:rFonts w:hint="eastAsia" w:ascii="黑体" w:hAnsi="黑体" w:eastAsia="黑体" w:cs="黑体"/>
              <w:sz w:val="52"/>
              <w:szCs w:val="52"/>
              <w:lang w:val="en-US" w:eastAsia="zh-CN"/>
            </w:rPr>
            <w:t xml:space="preserve">    </w:t>
          </w:r>
          <w:r>
            <w:rPr>
              <w:rFonts w:hint="eastAsia" w:ascii="黑体" w:hAnsi="黑体" w:eastAsia="黑体" w:cs="黑体"/>
              <w:sz w:val="52"/>
              <w:szCs w:val="52"/>
            </w:rPr>
            <w:t>录</w:t>
          </w:r>
        </w:p>
        <w:p w14:paraId="2FCD0638">
          <w:pPr>
            <w:pStyle w:val="14"/>
            <w:tabs>
              <w:tab w:val="right" w:leader="dot" w:pos="8306"/>
            </w:tabs>
            <w:ind w:left="0" w:leftChars="0" w:firstLine="442" w:firstLineChars="100"/>
          </w:pPr>
          <w:r>
            <w:rPr>
              <w:rFonts w:hint="eastAsia" w:ascii="黑体" w:hAnsi="黑体" w:eastAsia="黑体" w:cs="黑体"/>
              <w:b/>
              <w:bCs/>
              <w:sz w:val="44"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 w:val="44"/>
              <w:szCs w:val="44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bCs/>
              <w:sz w:val="44"/>
              <w:szCs w:val="4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_Toc24858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项目背景与目标</w:t>
          </w:r>
          <w:r>
            <w:tab/>
          </w:r>
          <w:r>
            <w:fldChar w:fldCharType="begin"/>
          </w:r>
          <w:r>
            <w:instrText xml:space="preserve"> PAGEREF _Toc24858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2F073F85"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_Toc29678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_Toc29678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5D514EAC"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_Toc2550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项目目标</w:t>
          </w:r>
          <w:r>
            <w:tab/>
          </w:r>
          <w:r>
            <w:fldChar w:fldCharType="begin"/>
          </w:r>
          <w:r>
            <w:instrText xml:space="preserve"> PAGEREF _Toc2550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71DA19AE"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_Toc21699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1.2.1. </w:t>
          </w:r>
          <w:r>
            <w:rPr>
              <w:rFonts w:hint="eastAsia"/>
            </w:rPr>
            <w:t>总体目标：</w:t>
          </w:r>
          <w:r>
            <w:tab/>
          </w:r>
          <w:r>
            <w:fldChar w:fldCharType="begin"/>
          </w:r>
          <w:r>
            <w:instrText xml:space="preserve"> PAGEREF _Toc21699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123BA70C"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_Toc9306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1.2.2. </w:t>
          </w:r>
          <w:r>
            <w:rPr>
              <w:rFonts w:hint="eastAsia"/>
            </w:rPr>
            <w:t>具体目标：</w:t>
          </w:r>
          <w:r>
            <w:tab/>
          </w:r>
          <w:r>
            <w:fldChar w:fldCharType="begin"/>
          </w:r>
          <w:r>
            <w:instrText xml:space="preserve"> PAGEREF _Toc9306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7B77FE0E">
          <w:pPr>
            <w:pStyle w:val="14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_Toc24971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成本管理</w:t>
          </w:r>
          <w:r>
            <w:tab/>
          </w:r>
          <w:r>
            <w:fldChar w:fldCharType="begin"/>
          </w:r>
          <w:r>
            <w:instrText xml:space="preserve"> PAGEREF _Toc24971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71F426A0"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_Toc12874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成本预算分解</w:t>
          </w:r>
          <w:r>
            <w:tab/>
          </w:r>
          <w:r>
            <w:fldChar w:fldCharType="begin"/>
          </w:r>
          <w:r>
            <w:instrText xml:space="preserve"> PAGEREF _Toc12874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69BDB9B2"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_Toc17036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</w:rPr>
            <w:t>成本控制措施</w:t>
          </w:r>
          <w:r>
            <w:tab/>
          </w:r>
          <w:r>
            <w:fldChar w:fldCharType="begin"/>
          </w:r>
          <w:r>
            <w:instrText xml:space="preserve"> PAGEREF _Toc17036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3A4A0F4B"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_Toc30712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2.2.1. </w:t>
          </w:r>
          <w:r>
            <w:rPr>
              <w:rFonts w:hint="eastAsia"/>
            </w:rPr>
            <w:t>硬件采购优化：</w:t>
          </w:r>
          <w:r>
            <w:tab/>
          </w:r>
          <w:r>
            <w:fldChar w:fldCharType="begin"/>
          </w:r>
          <w:r>
            <w:instrText xml:space="preserve"> PAGEREF _Toc30712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5225F938"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_Toc7184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2.2.2. </w:t>
          </w:r>
          <w:r>
            <w:rPr>
              <w:rFonts w:hint="eastAsia"/>
            </w:rPr>
            <w:t>研发资源配置优化：</w:t>
          </w:r>
          <w:r>
            <w:tab/>
          </w:r>
          <w:r>
            <w:fldChar w:fldCharType="begin"/>
          </w:r>
          <w:r>
            <w:instrText xml:space="preserve"> PAGEREF _Toc7184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62331A6B"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_Toc15842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2.2.3. </w:t>
          </w:r>
          <w:r>
            <w:rPr>
              <w:rFonts w:hint="eastAsia"/>
            </w:rPr>
            <w:t>付款与合同控制：</w:t>
          </w:r>
          <w:r>
            <w:tab/>
          </w:r>
          <w:r>
            <w:fldChar w:fldCharType="begin"/>
          </w:r>
          <w:r>
            <w:instrText xml:space="preserve"> PAGEREF _Toc15842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0793CF5B"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_Toc23697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2.2.4. </w:t>
          </w:r>
          <w:r>
            <w:rPr>
              <w:rFonts w:hint="eastAsia"/>
            </w:rPr>
            <w:t>财务监控与预警机制：</w:t>
          </w:r>
          <w:r>
            <w:tab/>
          </w:r>
          <w:r>
            <w:fldChar w:fldCharType="begin"/>
          </w:r>
          <w:r>
            <w:instrText xml:space="preserve"> PAGEREF _Toc23697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7096F405">
          <w:pPr>
            <w:pStyle w:val="14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_Toc10435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销量管理</w:t>
          </w:r>
          <w:r>
            <w:tab/>
          </w:r>
          <w:r>
            <w:fldChar w:fldCharType="begin"/>
          </w:r>
          <w:r>
            <w:instrText xml:space="preserve"> PAGEREF _Toc10435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48EDEB5A"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_Toc27997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</w:rPr>
            <w:t>目标客户细分：</w:t>
          </w:r>
          <w:r>
            <w:tab/>
          </w:r>
          <w:r>
            <w:fldChar w:fldCharType="begin"/>
          </w:r>
          <w:r>
            <w:instrText xml:space="preserve"> PAGEREF _Toc27997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5B7DC615"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_Toc32300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eastAsia"/>
            </w:rPr>
            <w:t>推广渠道布局：</w:t>
          </w:r>
          <w:r>
            <w:tab/>
          </w:r>
          <w:r>
            <w:fldChar w:fldCharType="begin"/>
          </w:r>
          <w:r>
            <w:instrText xml:space="preserve"> PAGEREF _Toc32300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763A71F5"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_Toc24920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rPr>
              <w:rFonts w:hint="eastAsia"/>
            </w:rPr>
            <w:t>定价与营收模式：</w:t>
          </w:r>
          <w:r>
            <w:tab/>
          </w:r>
          <w:r>
            <w:fldChar w:fldCharType="begin"/>
          </w:r>
          <w:r>
            <w:instrText xml:space="preserve"> PAGEREF _Toc24920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1BB11299"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_Toc8893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3.4. </w:t>
          </w:r>
          <w:r>
            <w:rPr>
              <w:rFonts w:hint="eastAsia"/>
            </w:rPr>
            <w:t>销售目标分解</w:t>
          </w:r>
          <w:r>
            <w:tab/>
          </w:r>
          <w:r>
            <w:fldChar w:fldCharType="begin"/>
          </w:r>
          <w:r>
            <w:instrText xml:space="preserve"> PAGEREF _Toc8893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4711372E">
          <w:pPr>
            <w:pStyle w:val="14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_Toc23230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进程管理</w:t>
          </w:r>
          <w:r>
            <w:tab/>
          </w:r>
          <w:r>
            <w:fldChar w:fldCharType="begin"/>
          </w:r>
          <w:r>
            <w:instrText xml:space="preserve"> PAGEREF _Toc23230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1A29302C"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_Toc18267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</w:rPr>
            <w:t>项目里程碑计划</w:t>
          </w:r>
          <w:r>
            <w:tab/>
          </w:r>
          <w:r>
            <w:fldChar w:fldCharType="begin"/>
          </w:r>
          <w:r>
            <w:instrText xml:space="preserve"> PAGEREF _Toc18267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09D5643B"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_Toc26649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</w:rPr>
            <w:t>详细进度表（甘特图）</w:t>
          </w:r>
          <w:r>
            <w:tab/>
          </w:r>
          <w:r>
            <w:fldChar w:fldCharType="begin"/>
          </w:r>
          <w:r>
            <w:instrText xml:space="preserve"> PAGEREF _Toc26649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0EC96429">
          <w:pPr>
            <w:pStyle w:val="14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_Toc9424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人力资源管理及沟通</w:t>
          </w:r>
          <w:r>
            <w:tab/>
          </w:r>
          <w:r>
            <w:fldChar w:fldCharType="begin"/>
          </w:r>
          <w:r>
            <w:instrText xml:space="preserve"> PAGEREF _Toc9424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06483CC2"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_Toc22984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rPr>
              <w:rFonts w:hint="eastAsia"/>
            </w:rPr>
            <w:t>团队架构与职责</w:t>
          </w:r>
          <w:r>
            <w:tab/>
          </w:r>
          <w:r>
            <w:fldChar w:fldCharType="begin"/>
          </w:r>
          <w:r>
            <w:instrText xml:space="preserve"> PAGEREF _Toc22984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45A5A720"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_Toc25018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5.1.1. </w:t>
          </w:r>
          <w:r>
            <w:rPr>
              <w:rFonts w:hint="eastAsia"/>
            </w:rPr>
            <w:t>核心团队</w:t>
          </w:r>
          <w:r>
            <w:tab/>
          </w:r>
          <w:r>
            <w:fldChar w:fldCharType="begin"/>
          </w:r>
          <w:r>
            <w:instrText xml:space="preserve"> PAGEREF _Toc25018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740AB020"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_Toc23747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5.1.2. </w:t>
          </w:r>
          <w:r>
            <w:rPr>
              <w:rFonts w:hint="eastAsia"/>
            </w:rPr>
            <w:t>外部协作资源</w:t>
          </w:r>
          <w:r>
            <w:tab/>
          </w:r>
          <w:r>
            <w:fldChar w:fldCharType="begin"/>
          </w:r>
          <w:r>
            <w:instrText xml:space="preserve"> PAGEREF _Toc23747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717B1C89"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_Toc23740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rPr>
              <w:rFonts w:hint="eastAsia"/>
            </w:rPr>
            <w:t>沟通机制</w:t>
          </w:r>
          <w:r>
            <w:tab/>
          </w:r>
          <w:r>
            <w:fldChar w:fldCharType="begin"/>
          </w:r>
          <w:r>
            <w:instrText xml:space="preserve"> PAGEREF _Toc23740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1488DD85"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_Toc19588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5.2.1. </w:t>
          </w:r>
          <w:r>
            <w:rPr>
              <w:rFonts w:hint="eastAsia"/>
            </w:rPr>
            <w:t>内部沟通机制</w:t>
          </w:r>
          <w:r>
            <w:tab/>
          </w:r>
          <w:r>
            <w:fldChar w:fldCharType="begin"/>
          </w:r>
          <w:r>
            <w:instrText xml:space="preserve"> PAGEREF _Toc19588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1C0F17F4"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_Toc9536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5.2.2. </w:t>
          </w:r>
          <w:r>
            <w:rPr>
              <w:rFonts w:hint="eastAsia"/>
            </w:rPr>
            <w:t>外部沟通机制</w:t>
          </w:r>
          <w:r>
            <w:tab/>
          </w:r>
          <w:r>
            <w:fldChar w:fldCharType="begin"/>
          </w:r>
          <w:r>
            <w:instrText xml:space="preserve"> PAGEREF _Toc9536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39776D1C">
          <w:pPr>
            <w:pStyle w:val="14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_Toc32064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风险评估</w:t>
          </w:r>
          <w:r>
            <w:tab/>
          </w:r>
          <w:r>
            <w:fldChar w:fldCharType="begin"/>
          </w:r>
          <w:r>
            <w:instrText xml:space="preserve"> PAGEREF _Toc32064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2793024A"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_Toc32596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6.1. </w:t>
          </w:r>
          <w:r>
            <w:rPr>
              <w:rFonts w:hint="eastAsia"/>
            </w:rPr>
            <w:t>风险清单与应对策略</w:t>
          </w:r>
          <w:r>
            <w:tab/>
          </w:r>
          <w:r>
            <w:fldChar w:fldCharType="begin"/>
          </w:r>
          <w:r>
            <w:instrText xml:space="preserve"> PAGEREF _Toc32596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770A741E"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_Toc2256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6.2. </w:t>
          </w:r>
          <w:r>
            <w:rPr>
              <w:rFonts w:hint="eastAsia"/>
            </w:rPr>
            <w:t>风险监控</w:t>
          </w:r>
          <w:r>
            <w:tab/>
          </w:r>
          <w:r>
            <w:fldChar w:fldCharType="begin"/>
          </w:r>
          <w:r>
            <w:instrText xml:space="preserve"> PAGEREF _Toc2256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71A49CD3">
          <w:pPr>
            <w:pStyle w:val="14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_Toc29541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</w:rPr>
            <w:t>项目可持续发展评价</w:t>
          </w:r>
          <w:r>
            <w:tab/>
          </w:r>
          <w:r>
            <w:fldChar w:fldCharType="begin"/>
          </w:r>
          <w:r>
            <w:instrText xml:space="preserve"> PAGEREF _Toc29541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001CAAE4"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_Toc15354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7.1. </w:t>
          </w:r>
          <w:r>
            <w:rPr>
              <w:rFonts w:hint="eastAsia"/>
            </w:rPr>
            <w:t>环境效益</w:t>
          </w:r>
          <w:r>
            <w:tab/>
          </w:r>
          <w:r>
            <w:fldChar w:fldCharType="begin"/>
          </w:r>
          <w:r>
            <w:instrText xml:space="preserve"> PAGEREF _Toc15354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11CA7172"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_Toc12522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7.2. </w:t>
          </w:r>
          <w:r>
            <w:rPr>
              <w:rFonts w:hint="eastAsia"/>
            </w:rPr>
            <w:t>社会效益</w:t>
          </w:r>
          <w:r>
            <w:tab/>
          </w:r>
          <w:r>
            <w:fldChar w:fldCharType="begin"/>
          </w:r>
          <w:r>
            <w:instrText xml:space="preserve"> PAGEREF _Toc12522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528AD347"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_Toc28417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7.3. </w:t>
          </w:r>
          <w:r>
            <w:rPr>
              <w:rFonts w:hint="eastAsia"/>
            </w:rPr>
            <w:t>经济效益</w:t>
          </w:r>
          <w:r>
            <w:tab/>
          </w:r>
          <w:r>
            <w:fldChar w:fldCharType="begin"/>
          </w:r>
          <w:r>
            <w:instrText xml:space="preserve"> PAGEREF _Toc28417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5FEAA1DC">
          <w:pPr>
            <w:pStyle w:val="14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_Toc821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rPr>
              <w:rFonts w:hint="eastAsia"/>
            </w:rPr>
            <w:t>工程师伦理道德</w:t>
          </w:r>
          <w:r>
            <w:tab/>
          </w:r>
          <w:r>
            <w:fldChar w:fldCharType="begin"/>
          </w:r>
          <w:r>
            <w:instrText xml:space="preserve"> PAGEREF _Toc821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28F63537"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_Toc11166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8.1. </w:t>
          </w:r>
          <w:r>
            <w:rPr>
              <w:rFonts w:hint="eastAsia"/>
            </w:rPr>
            <w:t>数据隐私保护：</w:t>
          </w:r>
          <w:r>
            <w:tab/>
          </w:r>
          <w:r>
            <w:fldChar w:fldCharType="begin"/>
          </w:r>
          <w:r>
            <w:instrText xml:space="preserve"> PAGEREF _Toc11166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72E51E99"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_Toc21000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8.2. </w:t>
          </w:r>
          <w:r>
            <w:rPr>
              <w:rFonts w:hint="eastAsia"/>
            </w:rPr>
            <w:t>技术透明与公平性：</w:t>
          </w:r>
          <w:r>
            <w:tab/>
          </w:r>
          <w:r>
            <w:fldChar w:fldCharType="begin"/>
          </w:r>
          <w:r>
            <w:instrText xml:space="preserve"> PAGEREF _Toc21000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29CDDDDF"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_Toc21453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8.3. </w:t>
          </w:r>
          <w:r>
            <w:rPr>
              <w:rFonts w:hint="eastAsia"/>
            </w:rPr>
            <w:t>合规性与法律要求：</w:t>
          </w:r>
          <w:r>
            <w:tab/>
          </w:r>
          <w:r>
            <w:fldChar w:fldCharType="begin"/>
          </w:r>
          <w:r>
            <w:instrText xml:space="preserve"> PAGEREF _Toc21453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7BDECC92"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_Toc13219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8.4. </w:t>
          </w:r>
          <w:r>
            <w:rPr>
              <w:rFonts w:hint="eastAsia"/>
            </w:rPr>
            <w:t>材料选购的诚信要求：</w:t>
          </w:r>
          <w:r>
            <w:tab/>
          </w:r>
          <w:r>
            <w:fldChar w:fldCharType="begin"/>
          </w:r>
          <w:r>
            <w:instrText xml:space="preserve"> PAGEREF _Toc13219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4625A14E">
          <w:pPr>
            <w:pStyle w:val="14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_Toc22560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9. </w:t>
          </w:r>
          <w:r>
            <w:rPr>
              <w:rFonts w:hint="eastAsia"/>
            </w:rPr>
            <w:t>项目管理流程</w:t>
          </w:r>
          <w:r>
            <w:tab/>
          </w:r>
          <w:r>
            <w:fldChar w:fldCharType="begin"/>
          </w:r>
          <w:r>
            <w:instrText xml:space="preserve"> PAGEREF _Toc22560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1F89603D"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_Toc1121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9.1. </w:t>
          </w:r>
          <w:r>
            <w:rPr>
              <w:rFonts w:hint="eastAsia"/>
            </w:rPr>
            <w:t>流程框架</w:t>
          </w:r>
          <w:r>
            <w:tab/>
          </w:r>
          <w:r>
            <w:fldChar w:fldCharType="begin"/>
          </w:r>
          <w:r>
            <w:instrText xml:space="preserve"> PAGEREF _Toc1121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4C83A5C5"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_Toc16745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9.1.1. </w:t>
          </w:r>
          <w:r>
            <w:rPr>
              <w:rFonts w:hint="eastAsia"/>
            </w:rPr>
            <w:t>启动阶段：</w:t>
          </w:r>
          <w:r>
            <w:tab/>
          </w:r>
          <w:r>
            <w:fldChar w:fldCharType="begin"/>
          </w:r>
          <w:r>
            <w:instrText xml:space="preserve"> PAGEREF _Toc16745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1FAB7543"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_Toc22559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9.1.2. </w:t>
          </w:r>
          <w:r>
            <w:rPr>
              <w:rFonts w:hint="eastAsia"/>
            </w:rPr>
            <w:t>规划阶段：</w:t>
          </w:r>
          <w:r>
            <w:tab/>
          </w:r>
          <w:r>
            <w:fldChar w:fldCharType="begin"/>
          </w:r>
          <w:r>
            <w:instrText xml:space="preserve"> PAGEREF _Toc22559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24527EF2"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_Toc12543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9.1.3. </w:t>
          </w:r>
          <w:r>
            <w:rPr>
              <w:rFonts w:hint="eastAsia"/>
            </w:rPr>
            <w:t>执行阶段：</w:t>
          </w:r>
          <w:r>
            <w:tab/>
          </w:r>
          <w:r>
            <w:fldChar w:fldCharType="begin"/>
          </w:r>
          <w:r>
            <w:instrText xml:space="preserve"> PAGEREF _Toc12543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191532FA"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_Toc31750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9.1.4. </w:t>
          </w:r>
          <w:r>
            <w:rPr>
              <w:rFonts w:hint="eastAsia"/>
            </w:rPr>
            <w:t>监控阶段：</w:t>
          </w:r>
          <w:r>
            <w:tab/>
          </w:r>
          <w:r>
            <w:fldChar w:fldCharType="begin"/>
          </w:r>
          <w:r>
            <w:instrText xml:space="preserve"> PAGEREF _Toc31750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54FDA174"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_Toc21486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9.1.5. </w:t>
          </w:r>
          <w:r>
            <w:rPr>
              <w:rFonts w:hint="eastAsia"/>
            </w:rPr>
            <w:t>收尾阶段：</w:t>
          </w:r>
          <w:r>
            <w:tab/>
          </w:r>
          <w:r>
            <w:fldChar w:fldCharType="begin"/>
          </w:r>
          <w:r>
            <w:instrText xml:space="preserve"> PAGEREF _Toc21486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023FDE16">
          <w:pPr>
            <w:pStyle w:val="1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begin"/>
          </w:r>
          <w:r>
            <w:rPr>
              <w:rFonts w:hint="eastAsia" w:ascii="黑体" w:hAnsi="黑体" w:eastAsia="黑体" w:cs="黑体"/>
              <w:bCs/>
              <w:szCs w:val="44"/>
            </w:rPr>
            <w:instrText xml:space="preserve"> HYPERLINK \l _Toc13163 </w:instrText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9.2. </w:t>
          </w:r>
          <w:r>
            <w:rPr>
              <w:rFonts w:hint="eastAsia"/>
            </w:rPr>
            <w:t>关键流程文档</w:t>
          </w:r>
          <w:r>
            <w:tab/>
          </w:r>
          <w:r>
            <w:fldChar w:fldCharType="begin"/>
          </w:r>
          <w:r>
            <w:instrText xml:space="preserve"> PAGEREF _Toc13163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  <w:p w14:paraId="7635C5CE">
          <w:pPr>
            <w:bidi w:val="0"/>
            <w:rPr>
              <w:rFonts w:hint="eastAsia" w:ascii="黑体" w:hAnsi="黑体" w:eastAsia="黑体" w:cs="黑体"/>
              <w:bCs/>
              <w:kern w:val="2"/>
              <w:sz w:val="21"/>
              <w:szCs w:val="44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bCs/>
              <w:szCs w:val="44"/>
            </w:rPr>
            <w:fldChar w:fldCharType="end"/>
          </w:r>
        </w:p>
      </w:sdtContent>
    </w:sdt>
    <w:p w14:paraId="29D70892">
      <w:pPr>
        <w:rPr>
          <w:rFonts w:hint="eastAsia" w:ascii="黑体" w:hAnsi="黑体" w:eastAsia="黑体" w:cs="黑体"/>
          <w:bCs/>
          <w:kern w:val="2"/>
          <w:sz w:val="21"/>
          <w:szCs w:val="44"/>
          <w:lang w:val="en-US" w:eastAsia="zh-CN" w:bidi="ar-SA"/>
        </w:rPr>
      </w:pPr>
      <w:r>
        <w:rPr>
          <w:rFonts w:hint="eastAsia" w:ascii="黑体" w:hAnsi="黑体" w:eastAsia="黑体" w:cs="黑体"/>
          <w:bCs/>
          <w:kern w:val="2"/>
          <w:sz w:val="21"/>
          <w:szCs w:val="44"/>
          <w:lang w:val="en-US" w:eastAsia="zh-CN" w:bidi="ar-SA"/>
        </w:rPr>
        <w:br w:type="page"/>
      </w:r>
    </w:p>
    <w:p w14:paraId="448264C8">
      <w:pPr>
        <w:bidi w:val="0"/>
        <w:rPr>
          <w:rFonts w:hint="eastAsia"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人脸识别外卖柜项目管理方案书</w:t>
      </w:r>
    </w:p>
    <w:p w14:paraId="6293C2E2">
      <w:pPr>
        <w:pStyle w:val="2"/>
        <w:bidi w:val="0"/>
        <w:rPr>
          <w:rFonts w:hint="eastAsia"/>
        </w:rPr>
      </w:pPr>
      <w:bookmarkStart w:id="0" w:name="_Toc24858"/>
      <w:r>
        <w:rPr>
          <w:rFonts w:hint="eastAsia"/>
        </w:rPr>
        <w:t>项目背景与目标</w:t>
      </w:r>
      <w:bookmarkEnd w:id="0"/>
    </w:p>
    <w:p w14:paraId="139DAF67">
      <w:pPr>
        <w:pStyle w:val="3"/>
        <w:bidi w:val="0"/>
        <w:rPr>
          <w:rFonts w:hint="eastAsia"/>
        </w:rPr>
      </w:pPr>
      <w:bookmarkStart w:id="1" w:name="_Toc29678"/>
      <w:r>
        <w:rPr>
          <w:rFonts w:hint="eastAsia"/>
        </w:rPr>
        <w:t>项目背景</w:t>
      </w:r>
      <w:bookmarkEnd w:id="1"/>
    </w:p>
    <w:p w14:paraId="3B3D77F8">
      <w:pPr>
        <w:bidi w:val="0"/>
        <w:rPr>
          <w:rFonts w:hint="eastAsia"/>
        </w:rPr>
      </w:pPr>
      <w:r>
        <w:rPr>
          <w:rFonts w:hint="eastAsia"/>
        </w:rPr>
        <w:t>随着居民生活节奏的不断加快，外卖服务已成为日常饮食的重要补充手段。外卖行业的迅猛发展催生了大量配送需求，但传统外卖柜在实际运营中暴露出诸多短板，如取餐效率不高、身份验证机制薄弱，导致用户误取、他人盗取餐品等现象时有发生，严重影响了用户体验与平台声誉。</w:t>
      </w:r>
    </w:p>
    <w:p w14:paraId="4345B0F0">
      <w:pPr>
        <w:rPr>
          <w:rFonts w:hint="eastAsia"/>
        </w:rPr>
      </w:pPr>
      <w:r>
        <w:rPr>
          <w:rFonts w:hint="eastAsia"/>
        </w:rPr>
        <w:t>为应对上述问题，亟需引入更加智能、安全的技术手段。人脸识别技术作为近年来快速成熟的人工智能应用场景之一，具备非接触、高精度、快速响应等特点，特别适用于公共无人值守设备的身份验证场景。将其应用于外卖柜系统，不仅可大幅提升用户取餐时的便捷性与安全性，还能降低平台在人力配送、监管方面的运营成本。</w:t>
      </w:r>
    </w:p>
    <w:p w14:paraId="501B0795">
      <w:pPr>
        <w:rPr>
          <w:rFonts w:hint="eastAsia"/>
        </w:rPr>
      </w:pPr>
      <w:r>
        <w:rPr>
          <w:rFonts w:hint="eastAsia"/>
        </w:rPr>
        <w:t>本项目拟建设一套基于人脸识别技术的智能外卖柜系统，围绕“高识别精度、低部署成本、广泛场景适配”三大核心目标展开。系统将优先覆盖校园、写字楼、住宅社区等外卖集中区域，通过软硬件一体化设计，实现便捷、高效、安全的智能取餐体验，为行业树立智能终端应用的新标杆。</w:t>
      </w:r>
    </w:p>
    <w:p w14:paraId="2B856948">
      <w:pPr>
        <w:pStyle w:val="3"/>
        <w:bidi w:val="0"/>
        <w:ind w:left="575" w:leftChars="0" w:hanging="575" w:firstLineChars="0"/>
        <w:rPr>
          <w:rFonts w:hint="eastAsia"/>
        </w:rPr>
      </w:pPr>
      <w:bookmarkStart w:id="2" w:name="_Toc2550"/>
      <w:r>
        <w:rPr>
          <w:rFonts w:hint="eastAsia"/>
        </w:rPr>
        <w:t>项目目标</w:t>
      </w:r>
      <w:bookmarkEnd w:id="2"/>
      <w:r>
        <w:rPr>
          <w:rFonts w:hint="eastAsia"/>
        </w:rPr>
        <w:t xml:space="preserve">  </w:t>
      </w:r>
    </w:p>
    <w:p w14:paraId="794F10E3">
      <w:pPr>
        <w:pStyle w:val="4"/>
        <w:bidi w:val="0"/>
        <w:rPr>
          <w:rFonts w:hint="eastAsia"/>
        </w:rPr>
      </w:pPr>
      <w:bookmarkStart w:id="3" w:name="_Toc21699"/>
      <w:r>
        <w:rPr>
          <w:rFonts w:hint="eastAsia"/>
        </w:rPr>
        <w:t>总体目标：</w:t>
      </w:r>
      <w:bookmarkEnd w:id="3"/>
    </w:p>
    <w:p w14:paraId="6CA758EA">
      <w:pPr>
        <w:ind w:firstLine="420" w:firstLineChars="0"/>
        <w:rPr>
          <w:rFonts w:hint="eastAsia"/>
        </w:rPr>
      </w:pPr>
      <w:r>
        <w:rPr>
          <w:rFonts w:hint="eastAsia"/>
        </w:rPr>
        <w:t>在12个月内完成1000台基于人脸识别技术的智能外卖柜的研发、生产、部署与上线运行，覆盖全国10个核心城市，包括北京、上海、广州、深圳、杭州等，打造具有示范效应的智能终端取餐网络。系统上线后，计划年服务订单总量达到500万单，确保用户满意度达到95%以上，显著提升末端配送体验，助力外卖行业服务升级。</w:t>
      </w:r>
    </w:p>
    <w:p w14:paraId="5F57F71A">
      <w:pPr>
        <w:pStyle w:val="4"/>
        <w:bidi w:val="0"/>
        <w:ind w:left="720" w:leftChars="0" w:hanging="720" w:firstLineChars="0"/>
        <w:rPr>
          <w:rFonts w:hint="eastAsia"/>
        </w:rPr>
      </w:pPr>
      <w:bookmarkStart w:id="4" w:name="_Toc9306"/>
      <w:r>
        <w:rPr>
          <w:rFonts w:hint="eastAsia"/>
        </w:rPr>
        <w:t>具体目标：</w:t>
      </w:r>
      <w:bookmarkEnd w:id="4"/>
    </w:p>
    <w:p w14:paraId="187972FA">
      <w:pPr>
        <w:pStyle w:val="5"/>
        <w:bidi w:val="0"/>
        <w:ind w:left="1284" w:leftChars="0" w:firstLineChars="0"/>
        <w:rPr>
          <w:rFonts w:hint="eastAsia"/>
        </w:rPr>
      </w:pPr>
      <w:r>
        <w:rPr>
          <w:rFonts w:hint="eastAsia"/>
        </w:rPr>
        <w:t>技术指标：</w:t>
      </w:r>
    </w:p>
    <w:p w14:paraId="1B20CAF8">
      <w:pPr>
        <w:rPr>
          <w:rFonts w:hint="eastAsia"/>
        </w:rPr>
      </w:pPr>
      <w:r>
        <w:rPr>
          <w:rFonts w:hint="eastAsia"/>
        </w:rPr>
        <w:t>系统人脸识别准确率不低于99.5%，确保不同光线、人群条件下的识别稳定性；误识率控制在0.01%以内，最大限度降低误取、盗取等安全事件；每次识别响应时间小于1秒，保障高峰期快速通行体验；支持断网取餐功能，具备本地识别与缓存机制，增强系统稳定性与容错能力。</w:t>
      </w:r>
    </w:p>
    <w:p w14:paraId="24B39AFF">
      <w:pPr>
        <w:pStyle w:val="5"/>
        <w:bidi w:val="0"/>
        <w:ind w:left="1284" w:leftChars="0" w:hanging="864" w:firstLineChars="0"/>
        <w:rPr>
          <w:rFonts w:hint="eastAsia"/>
        </w:rPr>
      </w:pPr>
      <w:r>
        <w:rPr>
          <w:rFonts w:hint="eastAsia"/>
        </w:rPr>
        <w:t>成本控制目标：</w:t>
      </w:r>
    </w:p>
    <w:p w14:paraId="26D49AFF">
      <w:pPr>
        <w:ind w:firstLine="420" w:firstLineChars="0"/>
        <w:rPr>
          <w:rFonts w:hint="eastAsia"/>
        </w:rPr>
      </w:pPr>
      <w:r>
        <w:rPr>
          <w:rFonts w:hint="eastAsia"/>
        </w:rPr>
        <w:t>单台设备硬件成本不高于8000元人民币，包括摄像头模组、处理器、电控结构等关键部件；整体软件研发费用控制在200万元以内，涵盖算法优化、系统平台开发与接口适配等环节；项目总投资预算控制在1200万元以内，通过精细化成本管理确保资金利用效率。</w:t>
      </w:r>
    </w:p>
    <w:p w14:paraId="525A7146">
      <w:pPr>
        <w:pStyle w:val="5"/>
        <w:bidi w:val="0"/>
        <w:ind w:left="1284" w:leftChars="0" w:hanging="864" w:firstLineChars="0"/>
        <w:rPr>
          <w:rFonts w:hint="eastAsia"/>
        </w:rPr>
      </w:pPr>
      <w:r>
        <w:rPr>
          <w:rFonts w:hint="eastAsia"/>
        </w:rPr>
        <w:t>市场推广目标：</w:t>
      </w:r>
    </w:p>
    <w:p w14:paraId="7B1EF36B">
      <w:pPr>
        <w:ind w:firstLine="420" w:firstLineChars="0"/>
        <w:rPr>
          <w:rFonts w:hint="eastAsia"/>
        </w:rPr>
      </w:pPr>
      <w:r>
        <w:rPr>
          <w:rFonts w:hint="eastAsia"/>
        </w:rPr>
        <w:t>项目首年实现设备销售1000台，占据所覆盖城市细分市场份额的30%以上；与不少于5家主流外卖平台或物业服务单位达成正式合作协议，包括但不限于美团、饿了么等；完成平台接入与服务条款协同，初步建立可复制的商业化运营模式。</w:t>
      </w:r>
    </w:p>
    <w:p w14:paraId="25728C25">
      <w:pPr>
        <w:pStyle w:val="5"/>
        <w:bidi w:val="0"/>
        <w:ind w:left="1284" w:leftChars="0" w:hanging="864" w:firstLineChars="0"/>
        <w:rPr>
          <w:rFonts w:hint="eastAsia"/>
        </w:rPr>
      </w:pPr>
      <w:r>
        <w:rPr>
          <w:rFonts w:hint="eastAsia"/>
        </w:rPr>
        <w:t>交付与进度目标：</w:t>
      </w:r>
    </w:p>
    <w:p w14:paraId="5FF1EF98"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自项目启动起12个月内，按阶段完成核心算法验证、设备试制、系统集成测试及批量交付；确保项目各阶段按既定里程碑交付成果，最终通过客户验收并进入常态化运营阶段</w:t>
      </w:r>
      <w:r>
        <w:rPr>
          <w:rFonts w:hint="eastAsia"/>
          <w:lang w:eastAsia="zh-CN"/>
        </w:rPr>
        <w:t>。</w:t>
      </w:r>
    </w:p>
    <w:p w14:paraId="32B09B5F">
      <w:pPr>
        <w:pStyle w:val="2"/>
        <w:bidi w:val="0"/>
        <w:ind w:left="432" w:leftChars="0" w:hanging="432" w:firstLineChars="0"/>
        <w:rPr>
          <w:rFonts w:hint="eastAsia"/>
        </w:rPr>
      </w:pPr>
      <w:bookmarkStart w:id="5" w:name="_Toc24971"/>
      <w:r>
        <w:rPr>
          <w:rFonts w:hint="eastAsia"/>
        </w:rPr>
        <w:t>成本管理</w:t>
      </w:r>
      <w:bookmarkEnd w:id="5"/>
      <w:r>
        <w:rPr>
          <w:rFonts w:hint="eastAsia"/>
        </w:rPr>
        <w:t xml:space="preserve">  </w:t>
      </w:r>
    </w:p>
    <w:p w14:paraId="28E3E1A1">
      <w:pPr>
        <w:pStyle w:val="3"/>
        <w:bidi w:val="0"/>
        <w:ind w:left="575" w:leftChars="0" w:hanging="575" w:firstLineChars="0"/>
        <w:rPr>
          <w:rFonts w:hint="eastAsia"/>
        </w:rPr>
      </w:pPr>
      <w:bookmarkStart w:id="6" w:name="_Toc12874"/>
      <w:r>
        <w:rPr>
          <w:rFonts w:hint="eastAsia"/>
        </w:rPr>
        <w:t>成本预算分解</w:t>
      </w:r>
      <w:bookmarkEnd w:id="6"/>
      <w:r>
        <w:rPr>
          <w:rFonts w:hint="eastAsia"/>
        </w:rPr>
        <w:t xml:space="preserve">  </w:t>
      </w:r>
    </w:p>
    <w:p w14:paraId="729E6DC3">
      <w:pPr>
        <w:rPr>
          <w:rFonts w:hint="eastAsia"/>
        </w:rPr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5272405" cy="4740275"/>
            <wp:effectExtent l="0" t="0" r="635" b="14605"/>
            <wp:docPr id="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B653">
      <w:pPr>
        <w:rPr>
          <w:rFonts w:hint="eastAsia"/>
        </w:rPr>
      </w:pPr>
    </w:p>
    <w:p w14:paraId="770272FE">
      <w:pPr>
        <w:pStyle w:val="3"/>
        <w:bidi w:val="0"/>
        <w:ind w:left="575" w:leftChars="0" w:hanging="575" w:firstLineChars="0"/>
        <w:rPr>
          <w:rFonts w:hint="eastAsia"/>
        </w:rPr>
      </w:pPr>
      <w:bookmarkStart w:id="7" w:name="_Toc17036"/>
      <w:r>
        <w:rPr>
          <w:rFonts w:hint="eastAsia"/>
        </w:rPr>
        <w:t>成本控制措施</w:t>
      </w:r>
      <w:bookmarkEnd w:id="7"/>
      <w:r>
        <w:rPr>
          <w:rFonts w:hint="eastAsia"/>
        </w:rPr>
        <w:t xml:space="preserve">  </w:t>
      </w:r>
    </w:p>
    <w:p w14:paraId="37F18A6C">
      <w:pPr>
        <w:rPr>
          <w:rFonts w:hint="eastAsia"/>
        </w:rPr>
      </w:pPr>
      <w:r>
        <w:rPr>
          <w:rFonts w:hint="eastAsia"/>
        </w:rPr>
        <w:t>为确保项目在预算范围内高效推进，本项目制定了多项成本控制策略，覆盖采购、研发、财务监控等关键环节，力求在保证质量和进度的前提下最大程度优化支出结构。</w:t>
      </w:r>
    </w:p>
    <w:p w14:paraId="153E8D9F">
      <w:pPr>
        <w:pStyle w:val="4"/>
        <w:bidi w:val="0"/>
        <w:ind w:left="720" w:leftChars="0" w:hanging="720" w:firstLineChars="0"/>
        <w:rPr>
          <w:rFonts w:hint="eastAsia"/>
        </w:rPr>
      </w:pPr>
      <w:bookmarkStart w:id="8" w:name="_Toc30712"/>
      <w:r>
        <w:rPr>
          <w:rFonts w:hint="eastAsia"/>
        </w:rPr>
        <w:t>硬件采购优化：</w:t>
      </w:r>
      <w:bookmarkEnd w:id="8"/>
    </w:p>
    <w:p w14:paraId="1B3095EC">
      <w:pPr>
        <w:rPr>
          <w:rFonts w:hint="eastAsia"/>
        </w:rPr>
      </w:pPr>
      <w:r>
        <w:rPr>
          <w:rFonts w:hint="eastAsia"/>
        </w:rPr>
        <w:t>在硬件模块采购方面，将采用公开招标方式，从业内筛选3家具备成熟产能与技术能力的供应商参与竞标，通过价格与质量综合评分确定合作方，并签署批量采购协议，以议价方式降低单台设备成本。同时，采用长期框架协议锁定核心器件价格，规避原材料价格波动风险。</w:t>
      </w:r>
    </w:p>
    <w:p w14:paraId="53E70337">
      <w:pPr>
        <w:pStyle w:val="4"/>
        <w:bidi w:val="0"/>
        <w:ind w:left="720" w:leftChars="0" w:hanging="720" w:firstLineChars="0"/>
        <w:rPr>
          <w:rFonts w:hint="eastAsia"/>
        </w:rPr>
      </w:pPr>
      <w:bookmarkStart w:id="9" w:name="_Toc7184"/>
      <w:r>
        <w:rPr>
          <w:rFonts w:hint="eastAsia"/>
        </w:rPr>
        <w:t>研发资源配置优化：</w:t>
      </w:r>
      <w:bookmarkEnd w:id="9"/>
    </w:p>
    <w:p w14:paraId="55F3C953">
      <w:pPr>
        <w:rPr>
          <w:rFonts w:hint="eastAsia"/>
        </w:rPr>
      </w:pPr>
      <w:r>
        <w:rPr>
          <w:rFonts w:hint="eastAsia"/>
        </w:rPr>
        <w:t>项目将坚持“核心自主、非核心外包”的研发策略，核心功能如人脸识别算法、嵌入式控制系统由内部团队主导，确保技术可控性和知识产权归属。非核心模块如用户界面（UI）、部分后台管理功能将委托经验丰富的第三方团队开发，有效缓解人力压力，提升开发效率并降低整体人力成本支出。</w:t>
      </w:r>
    </w:p>
    <w:p w14:paraId="36950F1F">
      <w:pPr>
        <w:pStyle w:val="4"/>
        <w:bidi w:val="0"/>
        <w:ind w:left="720" w:leftChars="0" w:hanging="720" w:firstLineChars="0"/>
        <w:rPr>
          <w:rFonts w:hint="eastAsia"/>
        </w:rPr>
      </w:pPr>
      <w:bookmarkStart w:id="10" w:name="_Toc15842"/>
      <w:r>
        <w:rPr>
          <w:rFonts w:hint="eastAsia"/>
        </w:rPr>
        <w:t>付款与合同控制：</w:t>
      </w:r>
      <w:bookmarkEnd w:id="10"/>
    </w:p>
    <w:p w14:paraId="04B23715">
      <w:pPr>
        <w:rPr>
          <w:rFonts w:hint="eastAsia"/>
        </w:rPr>
      </w:pPr>
      <w:r>
        <w:rPr>
          <w:rFonts w:hint="eastAsia"/>
        </w:rPr>
        <w:t>在资金支付方面，所有外包与采购合同均设置阶段性付款条款，以保障供应商履约质量。标准付款模式为：30%作为预付款启动项目，50%在中期验收通过后支付，剩余20%作为质保期保证金，在正式验收后一定周期内支付，确保供应商与合作方持续提供符合要求的服务与支持。</w:t>
      </w:r>
    </w:p>
    <w:p w14:paraId="6753A801">
      <w:pPr>
        <w:pStyle w:val="4"/>
        <w:bidi w:val="0"/>
        <w:ind w:left="720" w:leftChars="0" w:hanging="720" w:firstLineChars="0"/>
        <w:rPr>
          <w:rFonts w:hint="eastAsia"/>
        </w:rPr>
      </w:pPr>
      <w:bookmarkStart w:id="11" w:name="_Toc23697"/>
      <w:r>
        <w:rPr>
          <w:rFonts w:hint="eastAsia"/>
        </w:rPr>
        <w:t>财务监控与预警机制：</w:t>
      </w:r>
      <w:bookmarkEnd w:id="11"/>
    </w:p>
    <w:p w14:paraId="7F4FD151">
      <w:pPr>
        <w:rPr>
          <w:rFonts w:hint="eastAsia"/>
        </w:rPr>
      </w:pPr>
      <w:r>
        <w:rPr>
          <w:rFonts w:hint="eastAsia"/>
        </w:rPr>
        <w:t>项目将引入专业财务管理系统进行全过程成本跟踪和数据分析，所有支出将与预算计划动态对比，确保资金使用的透明度与规范性。一旦发现某一费用项支出偏差超过5%，系统将自动触发预警，并提交项目管理层审核，必要时调整实施计划或优化资源配置，防范预算失控。</w:t>
      </w:r>
    </w:p>
    <w:p w14:paraId="223472EC">
      <w:pPr>
        <w:pStyle w:val="2"/>
        <w:bidi w:val="0"/>
        <w:ind w:left="432" w:leftChars="0" w:hanging="432" w:firstLineChars="0"/>
        <w:rPr>
          <w:rFonts w:hint="eastAsia"/>
        </w:rPr>
      </w:pPr>
      <w:bookmarkStart w:id="47" w:name="_GoBack"/>
      <w:bookmarkEnd w:id="47"/>
      <w:bookmarkStart w:id="12" w:name="_Toc10435"/>
      <w:r>
        <w:rPr>
          <w:rFonts w:hint="eastAsia"/>
        </w:rPr>
        <w:t>销量管理</w:t>
      </w:r>
      <w:bookmarkEnd w:id="12"/>
      <w:r>
        <w:rPr>
          <w:rFonts w:hint="eastAsia"/>
        </w:rPr>
        <w:t xml:space="preserve">  </w:t>
      </w:r>
    </w:p>
    <w:p w14:paraId="46312421">
      <w:pPr>
        <w:rPr>
          <w:rFonts w:hint="eastAsia"/>
        </w:rPr>
      </w:pPr>
      <w:r>
        <w:rPr>
          <w:rFonts w:hint="eastAsia"/>
        </w:rPr>
        <w:t xml:space="preserve"> 为迅速打开市场并实现项目首年销售目标，本项目制定了以“精准定位 + 多渠道推广 + 灵活定价”为核心的市场推广策略，兼顾B端合作与C端用户体验，构建产品声量与销售转化的双轮驱动。</w:t>
      </w:r>
    </w:p>
    <w:p w14:paraId="5F01CD06">
      <w:pPr>
        <w:pStyle w:val="3"/>
        <w:bidi w:val="0"/>
        <w:ind w:left="575" w:leftChars="0" w:hanging="575" w:firstLineChars="0"/>
        <w:rPr>
          <w:rFonts w:hint="eastAsia"/>
        </w:rPr>
      </w:pPr>
      <w:bookmarkStart w:id="13" w:name="_Toc27997"/>
      <w:r>
        <w:rPr>
          <w:rFonts w:hint="eastAsia"/>
        </w:rPr>
        <w:t>目标客户细分：</w:t>
      </w:r>
      <w:bookmarkEnd w:id="13"/>
    </w:p>
    <w:p w14:paraId="6F50A9E7">
      <w:pPr>
        <w:rPr>
          <w:rFonts w:hint="eastAsia"/>
        </w:rPr>
      </w:pPr>
      <w:r>
        <w:rPr>
          <w:rFonts w:hint="eastAsia"/>
        </w:rPr>
        <w:t>B端客户：重点面向具备稳定外卖配送需求和高频使用场景的机构客户，包括主流外卖平台（如美团、饿了么）、写字楼物业管理方、以及高校后勤保障部门。通过定制化合作方案和系统对接服务，提升其终端配送效率与服务质量。</w:t>
      </w:r>
    </w:p>
    <w:p w14:paraId="2C051F3A">
      <w:pPr>
        <w:rPr>
          <w:rFonts w:hint="eastAsia"/>
        </w:rPr>
      </w:pPr>
    </w:p>
    <w:p w14:paraId="5CA5796C">
      <w:pPr>
        <w:rPr>
          <w:rFonts w:hint="eastAsia"/>
        </w:rPr>
      </w:pPr>
      <w:r>
        <w:rPr>
          <w:rFonts w:hint="eastAsia"/>
        </w:rPr>
        <w:t>C端用户：涵盖骑手与消费者两个核心人群。骑手端通过提升取餐效率和减少排队时间增强工作体验；消费者端则通过安全、便捷的“刷脸取餐”提升整体用户满意度。用户端主要通过平台导流和实际使用口碑进行转化。</w:t>
      </w:r>
    </w:p>
    <w:p w14:paraId="686F51C1">
      <w:pPr>
        <w:pStyle w:val="3"/>
        <w:bidi w:val="0"/>
        <w:ind w:left="575" w:leftChars="0" w:hanging="575" w:firstLineChars="0"/>
        <w:rPr>
          <w:rFonts w:hint="eastAsia"/>
        </w:rPr>
      </w:pPr>
      <w:bookmarkStart w:id="14" w:name="_Toc32300"/>
      <w:r>
        <w:rPr>
          <w:rFonts w:hint="eastAsia"/>
        </w:rPr>
        <w:t>推广渠道布局：</w:t>
      </w:r>
      <w:bookmarkEnd w:id="14"/>
    </w:p>
    <w:p w14:paraId="7AF10BA0">
      <w:pPr>
        <w:rPr>
          <w:rFonts w:hint="eastAsia"/>
        </w:rPr>
      </w:pPr>
      <w:r>
        <w:rPr>
          <w:rFonts w:hint="eastAsia"/>
        </w:rPr>
        <w:t>线上渠道：依托合作平台优势资源，在美团、饿了么等APP首页入口投放嵌入式广告，集中展示产品在安全性与便捷性方面的技术优势；同时通过抖音、微信视频号等社交媒体，发布场景化短视频内容，增强用户认知与信任感。</w:t>
      </w:r>
    </w:p>
    <w:p w14:paraId="0C17E905">
      <w:pPr>
        <w:rPr>
          <w:rFonts w:hint="eastAsia"/>
        </w:rPr>
      </w:pPr>
      <w:r>
        <w:rPr>
          <w:rFonts w:hint="eastAsia"/>
        </w:rPr>
        <w:t>线下推广：在重点城市（如北京、上海、广州、深圳、杭州）写字楼和校园试点区域开展“场景试用”活动，免费部署设备1个月，并同步举办产品发布会、推介会等，邀请媒体与潜在客户现场体验，从而实现初期市场渗透。</w:t>
      </w:r>
    </w:p>
    <w:p w14:paraId="56A2EE63">
      <w:pPr>
        <w:pStyle w:val="3"/>
        <w:bidi w:val="0"/>
        <w:ind w:left="575" w:leftChars="0" w:hanging="575" w:firstLineChars="0"/>
        <w:rPr>
          <w:rFonts w:hint="eastAsia"/>
        </w:rPr>
      </w:pPr>
      <w:bookmarkStart w:id="15" w:name="_Toc24920"/>
      <w:r>
        <w:rPr>
          <w:rFonts w:hint="eastAsia"/>
        </w:rPr>
        <w:t>定价与营收模式：</w:t>
      </w:r>
      <w:bookmarkEnd w:id="15"/>
    </w:p>
    <w:p w14:paraId="4BCA8FCC">
      <w:pPr>
        <w:rPr>
          <w:rFonts w:hint="eastAsia"/>
        </w:rPr>
      </w:pPr>
      <w:r>
        <w:rPr>
          <w:rFonts w:hint="eastAsia"/>
        </w:rPr>
        <w:t>设备销售模式：每台设备定价为1.2万元人民币，基于当前硬件成本设定，预估毛利率约为33%。此模式适用于一次性采购客户，强调硬件资产交付与部署。</w:t>
      </w:r>
    </w:p>
    <w:p w14:paraId="0906B745">
      <w:pPr>
        <w:rPr>
          <w:rFonts w:hint="eastAsia"/>
        </w:rPr>
      </w:pPr>
      <w:r>
        <w:rPr>
          <w:rFonts w:hint="eastAsia"/>
        </w:rPr>
        <w:t>技术服务订阅模式：针对平台类客户与批量合作方，推出按使用次数计费的SaaS服务模式，按每单0.1元的服务费进行结算，构建持续性收入来源，推动业务规模化增长。</w:t>
      </w:r>
    </w:p>
    <w:p w14:paraId="641DFCAD">
      <w:pPr>
        <w:pStyle w:val="3"/>
        <w:bidi w:val="0"/>
        <w:ind w:left="575" w:leftChars="0" w:hanging="575" w:firstLineChars="0"/>
        <w:rPr>
          <w:rFonts w:hint="eastAsia"/>
        </w:rPr>
      </w:pPr>
      <w:bookmarkStart w:id="16" w:name="_Toc8893"/>
      <w:r>
        <w:rPr>
          <w:rFonts w:hint="eastAsia"/>
        </w:rPr>
        <w:t>销售目标分解</w:t>
      </w:r>
      <w:bookmarkEnd w:id="16"/>
      <w:r>
        <w:rPr>
          <w:rFonts w:hint="eastAsia"/>
        </w:rPr>
        <w:t xml:space="preserve">  </w:t>
      </w:r>
    </w:p>
    <w:p w14:paraId="069B93D7">
      <w:pPr>
        <w:rPr>
          <w:rFonts w:hint="eastAsia"/>
        </w:rPr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5271135" cy="1544955"/>
            <wp:effectExtent l="0" t="0" r="1905" b="9525"/>
            <wp:docPr id="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0DBB7">
      <w:pPr>
        <w:rPr>
          <w:rFonts w:hint="eastAsia"/>
        </w:rPr>
      </w:pPr>
    </w:p>
    <w:p w14:paraId="21C6487A">
      <w:pPr>
        <w:pStyle w:val="2"/>
        <w:bidi w:val="0"/>
        <w:ind w:left="432" w:leftChars="0" w:hanging="432" w:firstLineChars="0"/>
        <w:rPr>
          <w:rFonts w:hint="eastAsia"/>
        </w:rPr>
      </w:pPr>
      <w:bookmarkStart w:id="17" w:name="_Toc23230"/>
      <w:r>
        <w:rPr>
          <w:rFonts w:hint="eastAsia"/>
        </w:rPr>
        <w:t>进程管理</w:t>
      </w:r>
      <w:bookmarkEnd w:id="17"/>
      <w:r>
        <w:rPr>
          <w:rFonts w:hint="eastAsia"/>
        </w:rPr>
        <w:t xml:space="preserve">  </w:t>
      </w:r>
    </w:p>
    <w:p w14:paraId="7C1D1D31">
      <w:pPr>
        <w:pStyle w:val="3"/>
        <w:bidi w:val="0"/>
        <w:ind w:left="575" w:leftChars="0" w:hanging="575" w:firstLineChars="0"/>
        <w:rPr>
          <w:rFonts w:hint="eastAsia"/>
        </w:rPr>
      </w:pPr>
      <w:bookmarkStart w:id="18" w:name="_Toc18267"/>
      <w:r>
        <w:rPr>
          <w:rFonts w:hint="eastAsia"/>
        </w:rPr>
        <w:t>项目里程碑计划</w:t>
      </w:r>
      <w:bookmarkEnd w:id="18"/>
      <w:r>
        <w:rPr>
          <w:rFonts w:hint="eastAsia"/>
        </w:rPr>
        <w:t xml:space="preserve">  </w:t>
      </w:r>
    </w:p>
    <w:p w14:paraId="16E4D6F3">
      <w:pPr>
        <w:rPr>
          <w:rFonts w:hint="eastAsia"/>
        </w:rPr>
      </w:pPr>
      <w:r>
        <w:rPr>
          <w:rFonts w:hint="eastAsia"/>
        </w:rPr>
        <w:t xml:space="preserve">  </w:t>
      </w:r>
      <w:r>
        <w:drawing>
          <wp:inline distT="0" distB="0" distL="114300" distR="114300">
            <wp:extent cx="5271135" cy="2055495"/>
            <wp:effectExtent l="0" t="0" r="1905" b="1905"/>
            <wp:docPr id="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1183E">
      <w:pPr>
        <w:pStyle w:val="3"/>
        <w:bidi w:val="0"/>
        <w:ind w:left="575" w:leftChars="0" w:hanging="575" w:firstLineChars="0"/>
        <w:rPr>
          <w:rFonts w:hint="eastAsia"/>
        </w:rPr>
      </w:pPr>
      <w:bookmarkStart w:id="19" w:name="_Toc26649"/>
      <w:r>
        <w:rPr>
          <w:rFonts w:hint="eastAsia"/>
        </w:rPr>
        <w:t>详细进度表（甘特图）</w:t>
      </w:r>
      <w:bookmarkEnd w:id="19"/>
      <w:r>
        <w:rPr>
          <w:rFonts w:hint="eastAsia"/>
        </w:rPr>
        <w:t xml:space="preserve">  </w:t>
      </w:r>
    </w:p>
    <w:p w14:paraId="0B9205F4">
      <w:pPr>
        <w:rPr>
          <w:rFonts w:hint="eastAsia"/>
        </w:rPr>
      </w:pPr>
      <w:r>
        <w:drawing>
          <wp:inline distT="0" distB="0" distL="114300" distR="114300">
            <wp:extent cx="5272405" cy="2018030"/>
            <wp:effectExtent l="0" t="0" r="635" b="8890"/>
            <wp:docPr id="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E4B99">
      <w:pPr>
        <w:pStyle w:val="2"/>
        <w:bidi w:val="0"/>
        <w:ind w:left="432" w:leftChars="0" w:hanging="432" w:firstLineChars="0"/>
        <w:rPr>
          <w:rFonts w:hint="eastAsia"/>
        </w:rPr>
      </w:pPr>
      <w:bookmarkStart w:id="20" w:name="_Toc9424"/>
      <w:r>
        <w:rPr>
          <w:rFonts w:hint="eastAsia"/>
        </w:rPr>
        <w:t>人力资源管理及沟通</w:t>
      </w:r>
      <w:bookmarkEnd w:id="20"/>
      <w:r>
        <w:rPr>
          <w:rFonts w:hint="eastAsia"/>
        </w:rPr>
        <w:t xml:space="preserve">  </w:t>
      </w:r>
    </w:p>
    <w:p w14:paraId="739839EE">
      <w:pPr>
        <w:pStyle w:val="3"/>
        <w:bidi w:val="0"/>
        <w:ind w:left="575" w:leftChars="0" w:hanging="575" w:firstLineChars="0"/>
        <w:rPr>
          <w:rFonts w:hint="eastAsia"/>
        </w:rPr>
      </w:pPr>
      <w:bookmarkStart w:id="21" w:name="_Toc22984"/>
      <w:r>
        <w:rPr>
          <w:rFonts w:hint="eastAsia"/>
        </w:rPr>
        <w:t>团队架构与职责</w:t>
      </w:r>
      <w:bookmarkEnd w:id="21"/>
      <w:r>
        <w:rPr>
          <w:rFonts w:hint="eastAsia"/>
        </w:rPr>
        <w:t xml:space="preserve">  </w:t>
      </w:r>
    </w:p>
    <w:p w14:paraId="4F63BF73">
      <w:pPr>
        <w:pStyle w:val="4"/>
        <w:bidi w:val="0"/>
        <w:ind w:left="720" w:leftChars="0" w:hanging="720" w:firstLineChars="0"/>
        <w:rPr>
          <w:rFonts w:hint="eastAsia"/>
        </w:rPr>
      </w:pPr>
      <w:bookmarkStart w:id="22" w:name="_Toc25018"/>
      <w:r>
        <w:rPr>
          <w:rFonts w:hint="eastAsia"/>
        </w:rPr>
        <w:t>核心团队</w:t>
      </w:r>
      <w:bookmarkEnd w:id="22"/>
    </w:p>
    <w:p w14:paraId="59817309">
      <w:pPr>
        <w:rPr>
          <w:rFonts w:hint="eastAsia"/>
        </w:rPr>
      </w:pPr>
      <w:r>
        <w:rPr>
          <w:rFonts w:hint="eastAsia"/>
        </w:rPr>
        <w:t>项目经理（1人）：全面负责项目统筹与管理，主导进度控制、资源协调及关键节点决策，作为客户与团队之间的核心沟通桥梁。</w:t>
      </w:r>
    </w:p>
    <w:p w14:paraId="228B4239"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技术组：包括3名算法工程师负责人脸识别技术的模型训练与优化，2名嵌入式开发工程师负责柜体硬件控制与系统集成，2名测试工程师专职功能、性能与兼容性测试，保障产品稳定性与用户体验。</w:t>
      </w:r>
    </w:p>
    <w:p w14:paraId="35E01E9F">
      <w:pPr>
        <w:rPr>
          <w:rFonts w:hint="eastAsia"/>
        </w:rPr>
      </w:pPr>
      <w:r>
        <w:rPr>
          <w:rFonts w:hint="eastAsia"/>
        </w:rPr>
        <w:t>运营组：由2名市场专员负责渠道拓展与品牌推广，3名售后支持人员建立客户服务机制，确保交付后期持续运行与响应。</w:t>
      </w:r>
    </w:p>
    <w:p w14:paraId="2F116E88">
      <w:pPr>
        <w:pStyle w:val="4"/>
        <w:bidi w:val="0"/>
        <w:ind w:left="720" w:leftChars="0" w:hanging="720" w:firstLineChars="0"/>
        <w:rPr>
          <w:rFonts w:hint="eastAsia"/>
        </w:rPr>
      </w:pPr>
      <w:bookmarkStart w:id="23" w:name="_Toc23747"/>
      <w:r>
        <w:rPr>
          <w:rFonts w:hint="eastAsia"/>
        </w:rPr>
        <w:t>外部协作资源</w:t>
      </w:r>
      <w:bookmarkEnd w:id="23"/>
    </w:p>
    <w:p w14:paraId="2B92CADE"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硬件生产：与具备大规模制造能力的富士康合作，确保生产质量与交付周期。</w:t>
      </w:r>
    </w:p>
    <w:p w14:paraId="3801414D">
      <w:pPr>
        <w:rPr>
          <w:rFonts w:hint="eastAsia"/>
        </w:rPr>
      </w:pPr>
      <w:r>
        <w:rPr>
          <w:rFonts w:hint="eastAsia"/>
        </w:rPr>
        <w:t>云服务平台：依托阿里云提供的稳定云计算与数据处理能力，支持人脸数据存储、模型远程更新与平台对接。</w:t>
      </w:r>
    </w:p>
    <w:p w14:paraId="40279ADE">
      <w:pPr>
        <w:pStyle w:val="3"/>
        <w:bidi w:val="0"/>
        <w:ind w:left="575" w:leftChars="0" w:hanging="575" w:firstLineChars="0"/>
        <w:rPr>
          <w:rFonts w:hint="eastAsia"/>
        </w:rPr>
      </w:pPr>
      <w:bookmarkStart w:id="24" w:name="_Toc23740"/>
      <w:r>
        <w:rPr>
          <w:rFonts w:hint="eastAsia"/>
        </w:rPr>
        <w:t>沟通机制</w:t>
      </w:r>
      <w:bookmarkEnd w:id="24"/>
      <w:r>
        <w:rPr>
          <w:rFonts w:hint="eastAsia"/>
        </w:rPr>
        <w:t xml:space="preserve">  </w:t>
      </w:r>
    </w:p>
    <w:p w14:paraId="1C56DFC4">
      <w:pPr>
        <w:pStyle w:val="4"/>
        <w:bidi w:val="0"/>
        <w:ind w:left="720" w:leftChars="0" w:hanging="720" w:firstLineChars="0"/>
        <w:rPr>
          <w:rFonts w:hint="eastAsia"/>
        </w:rPr>
      </w:pPr>
      <w:bookmarkStart w:id="25" w:name="_Toc19588"/>
      <w:r>
        <w:rPr>
          <w:rFonts w:hint="eastAsia"/>
        </w:rPr>
        <w:t>内部沟通机制</w:t>
      </w:r>
      <w:bookmarkEnd w:id="25"/>
    </w:p>
    <w:p w14:paraId="35816C2F">
      <w:pPr>
        <w:rPr>
          <w:rFonts w:hint="eastAsia"/>
        </w:rPr>
      </w:pPr>
      <w:r>
        <w:rPr>
          <w:rFonts w:hint="eastAsia"/>
        </w:rPr>
        <w:t>每日例会：每天上午组织15分钟站立式例会，全员汇报前一日完成情况及当日重点任务，及时发现并解决阻塞问题。</w:t>
      </w:r>
    </w:p>
    <w:p w14:paraId="4AF55CC0">
      <w:pPr>
        <w:rPr>
          <w:rFonts w:hint="eastAsia"/>
        </w:rPr>
      </w:pPr>
      <w:r>
        <w:rPr>
          <w:rFonts w:hint="eastAsia"/>
        </w:rPr>
        <w:t>周度汇报：项目成员每周提交进度周报，内容涵盖任务完成率、当前风险与潜在问题、资源需求与下周计划，项目经理据此更新总体看板。</w:t>
      </w:r>
    </w:p>
    <w:p w14:paraId="083FD00A">
      <w:pPr>
        <w:pStyle w:val="4"/>
        <w:bidi w:val="0"/>
        <w:ind w:left="720" w:leftChars="0" w:hanging="720" w:firstLineChars="0"/>
        <w:rPr>
          <w:rFonts w:hint="eastAsia"/>
        </w:rPr>
      </w:pPr>
      <w:bookmarkStart w:id="26" w:name="_Toc9536"/>
      <w:r>
        <w:rPr>
          <w:rFonts w:hint="eastAsia"/>
        </w:rPr>
        <w:t>外部沟通机制</w:t>
      </w:r>
      <w:bookmarkEnd w:id="26"/>
    </w:p>
    <w:p w14:paraId="1A2F41E9">
      <w:pPr>
        <w:rPr>
          <w:rFonts w:hint="eastAsia"/>
        </w:rPr>
      </w:pPr>
      <w:r>
        <w:rPr>
          <w:rFonts w:hint="eastAsia"/>
        </w:rPr>
        <w:t>客户月报机制：每月整理《项目进展报告》，包含开发状态、测试情况、风险评估、关键数据看板，向客户定期汇报项目整体健康度，增强合作透明度。</w:t>
      </w:r>
    </w:p>
    <w:p w14:paraId="637E4867">
      <w:pPr>
        <w:rPr>
          <w:rFonts w:hint="eastAsia"/>
        </w:rPr>
      </w:pPr>
      <w:r>
        <w:rPr>
          <w:rFonts w:hint="eastAsia"/>
        </w:rPr>
        <w:t>应急响应流程：对于突发问题，建立24小时响应机制，通过企业微信设立专线，由指定人员在接收到客户反馈后立即处理并汇报项目负责人。</w:t>
      </w:r>
    </w:p>
    <w:p w14:paraId="2927350B">
      <w:pPr>
        <w:pStyle w:val="2"/>
        <w:bidi w:val="0"/>
        <w:ind w:left="432" w:leftChars="0" w:hanging="432" w:firstLineChars="0"/>
        <w:rPr>
          <w:rFonts w:hint="eastAsia"/>
        </w:rPr>
      </w:pPr>
      <w:bookmarkStart w:id="27" w:name="_Toc32064"/>
      <w:r>
        <w:rPr>
          <w:rFonts w:hint="eastAsia"/>
        </w:rPr>
        <w:t>风险评估</w:t>
      </w:r>
      <w:bookmarkEnd w:id="27"/>
      <w:r>
        <w:rPr>
          <w:rFonts w:hint="eastAsia"/>
        </w:rPr>
        <w:t xml:space="preserve">  </w:t>
      </w:r>
    </w:p>
    <w:p w14:paraId="39DE5F1F">
      <w:pPr>
        <w:pStyle w:val="3"/>
        <w:bidi w:val="0"/>
        <w:ind w:left="575" w:leftChars="0" w:hanging="575" w:firstLineChars="0"/>
        <w:rPr>
          <w:rFonts w:hint="eastAsia"/>
        </w:rPr>
      </w:pPr>
      <w:bookmarkStart w:id="28" w:name="_Toc32596"/>
      <w:r>
        <w:rPr>
          <w:rFonts w:hint="eastAsia"/>
        </w:rPr>
        <w:t>风险清单与应对策略</w:t>
      </w:r>
      <w:bookmarkEnd w:id="28"/>
      <w:r>
        <w:rPr>
          <w:rFonts w:hint="eastAsia"/>
        </w:rPr>
        <w:t xml:space="preserve">  </w:t>
      </w:r>
    </w:p>
    <w:p w14:paraId="1809B9BC">
      <w:pPr>
        <w:rPr>
          <w:rFonts w:hint="eastAsia"/>
        </w:rPr>
      </w:pPr>
      <w:r>
        <w:rPr>
          <w:rFonts w:hint="eastAsia"/>
        </w:rPr>
        <w:t xml:space="preserve">    </w:t>
      </w:r>
      <w:r>
        <w:drawing>
          <wp:inline distT="0" distB="0" distL="114300" distR="114300">
            <wp:extent cx="5271135" cy="2080895"/>
            <wp:effectExtent l="0" t="0" r="1905" b="6985"/>
            <wp:docPr id="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0E5C">
      <w:pPr>
        <w:pStyle w:val="3"/>
        <w:bidi w:val="0"/>
        <w:ind w:left="575" w:leftChars="0" w:hanging="575" w:firstLineChars="0"/>
        <w:rPr>
          <w:rFonts w:hint="eastAsia"/>
        </w:rPr>
      </w:pPr>
      <w:bookmarkStart w:id="29" w:name="_Toc2256"/>
      <w:r>
        <w:rPr>
          <w:rFonts w:hint="eastAsia"/>
        </w:rPr>
        <w:t>风险监控</w:t>
      </w:r>
      <w:bookmarkEnd w:id="29"/>
      <w:r>
        <w:rPr>
          <w:rFonts w:hint="eastAsia"/>
        </w:rPr>
        <w:t xml:space="preserve">  </w:t>
      </w:r>
    </w:p>
    <w:p w14:paraId="3C25EE93">
      <w:pPr>
        <w:rPr>
          <w:rFonts w:hint="eastAsia"/>
        </w:rPr>
      </w:pPr>
      <w:r>
        <w:rPr>
          <w:rFonts w:hint="eastAsia"/>
        </w:rPr>
        <w:t>为保障项目实施过程中的稳定性和可控性，本项目将建立动态的风险监控机制：</w:t>
      </w:r>
    </w:p>
    <w:p w14:paraId="2C3B524F">
      <w:pPr>
        <w:rPr>
          <w:rFonts w:hint="eastAsia"/>
        </w:rPr>
      </w:pPr>
      <w:r>
        <w:rPr>
          <w:rFonts w:hint="eastAsia"/>
        </w:rPr>
        <w:t>定期审查机制：项目团队将每月组织一次风险评估会议，对当前的风险登记表进行全面更新，识别新增风险，并评估已有风险的变动趋势（如概率、影响等级变化）。</w:t>
      </w:r>
    </w:p>
    <w:p w14:paraId="3C51BEF1">
      <w:pPr>
        <w:rPr>
          <w:rFonts w:hint="eastAsia"/>
        </w:rPr>
      </w:pPr>
      <w:r>
        <w:rPr>
          <w:rFonts w:hint="eastAsia"/>
        </w:rPr>
        <w:t>分级响应机制：对被评为“高风险”的事项，将立即提交项目管理层或公司高层做决策升级，制定专门应对方案并跟进执行情况。</w:t>
      </w:r>
    </w:p>
    <w:p w14:paraId="54C63A6D">
      <w:pPr>
        <w:rPr>
          <w:rFonts w:hint="eastAsia"/>
        </w:rPr>
      </w:pPr>
      <w:r>
        <w:rPr>
          <w:rFonts w:hint="eastAsia"/>
        </w:rPr>
        <w:t>风险响应记录：每项重大风险的应对过程及结果将详细记录，作为项目管理过程资产，便于未来类似项目复用和预防。</w:t>
      </w:r>
    </w:p>
    <w:p w14:paraId="41F6802B">
      <w:pPr>
        <w:rPr>
          <w:rFonts w:hint="eastAsia"/>
        </w:rPr>
      </w:pPr>
      <w:r>
        <w:rPr>
          <w:rFonts w:hint="eastAsia"/>
        </w:rPr>
        <w:t>预警系统：结合项目进度与财务系统，设置关键指标触发阈值（如进度延误5%、预算超支5%等），自动生成风险预警报告，提前干预。</w:t>
      </w:r>
    </w:p>
    <w:p w14:paraId="056BD3FE">
      <w:pPr>
        <w:pStyle w:val="2"/>
        <w:bidi w:val="0"/>
        <w:ind w:left="432" w:leftChars="0" w:hanging="432" w:firstLineChars="0"/>
        <w:rPr>
          <w:rFonts w:hint="eastAsia"/>
        </w:rPr>
      </w:pPr>
      <w:bookmarkStart w:id="30" w:name="_Toc29541"/>
      <w:r>
        <w:rPr>
          <w:rFonts w:hint="eastAsia"/>
        </w:rPr>
        <w:t>项目可持续发展评价</w:t>
      </w:r>
      <w:bookmarkEnd w:id="30"/>
      <w:r>
        <w:rPr>
          <w:rFonts w:hint="eastAsia"/>
        </w:rPr>
        <w:t xml:space="preserve">  </w:t>
      </w:r>
    </w:p>
    <w:p w14:paraId="40EE7AE7">
      <w:pPr>
        <w:pStyle w:val="3"/>
        <w:bidi w:val="0"/>
        <w:ind w:left="575" w:leftChars="0" w:hanging="575" w:firstLineChars="0"/>
        <w:rPr>
          <w:rFonts w:hint="eastAsia"/>
        </w:rPr>
      </w:pPr>
      <w:bookmarkStart w:id="31" w:name="_Toc15354"/>
      <w:r>
        <w:rPr>
          <w:rFonts w:hint="eastAsia"/>
        </w:rPr>
        <w:t>环境效益</w:t>
      </w:r>
      <w:bookmarkEnd w:id="31"/>
      <w:r>
        <w:rPr>
          <w:rFonts w:hint="eastAsia"/>
        </w:rPr>
        <w:t xml:space="preserve">  </w:t>
      </w:r>
    </w:p>
    <w:p w14:paraId="4A50B50C">
      <w:pPr>
        <w:rPr>
          <w:rFonts w:hint="eastAsia"/>
        </w:rPr>
      </w:pPr>
      <w:r>
        <w:rPr>
          <w:rFonts w:hint="eastAsia"/>
        </w:rPr>
        <w:t>节能减排：采用高效的低功耗芯片和智能电源管理系统，确保设备在任何工作模式下都能最大限度降低能源消耗。单台外卖柜的日均耗电量仅为0.5度，相较于传统设备，节电幅度达到30%。这一节能措施有助于减少碳排放，符合国家的绿色发展战略，提升企业的环保形象。</w:t>
      </w:r>
    </w:p>
    <w:p w14:paraId="5563AED9">
      <w:pPr>
        <w:rPr>
          <w:rFonts w:hint="eastAsia"/>
        </w:rPr>
      </w:pPr>
      <w:r>
        <w:rPr>
          <w:rFonts w:hint="eastAsia"/>
        </w:rPr>
        <w:t>材料回收与循环利用：设备的结构设计充分考虑到可持续性，90%的部件采用模块化设计，便于拆解和回收。特别是在柜体使用寿命结束后，所有可回收材料将进行处理并重新利用，减少了资源浪费，符合循环经济理念。通过采用可持续生产模式，项目还能够减少对环境的负面影响，符合绿色环保的产业趋势。</w:t>
      </w:r>
    </w:p>
    <w:p w14:paraId="06E27DAC">
      <w:pPr>
        <w:pStyle w:val="3"/>
        <w:bidi w:val="0"/>
        <w:ind w:left="575" w:leftChars="0" w:hanging="575" w:firstLineChars="0"/>
        <w:rPr>
          <w:rFonts w:hint="eastAsia"/>
        </w:rPr>
      </w:pPr>
      <w:bookmarkStart w:id="32" w:name="_Toc12522"/>
      <w:r>
        <w:rPr>
          <w:rFonts w:hint="eastAsia"/>
        </w:rPr>
        <w:t>社会效益</w:t>
      </w:r>
      <w:bookmarkEnd w:id="32"/>
      <w:r>
        <w:rPr>
          <w:rFonts w:hint="eastAsia"/>
        </w:rPr>
        <w:t xml:space="preserve">  </w:t>
      </w:r>
    </w:p>
    <w:p w14:paraId="67F1D4D2">
      <w:pPr>
        <w:rPr>
          <w:rFonts w:hint="eastAsia"/>
        </w:rPr>
      </w:pPr>
      <w:r>
        <w:rPr>
          <w:rFonts w:hint="eastAsia"/>
        </w:rPr>
        <w:t>就业创造：在项目的研发、生产、部署及运营阶段，将直接或间接创造约50个技术性与管理性岗位。项目为技术人员、项目管理人员、市场人员、售后服务人员等提供了大量就业机会，尤其是在技术岗位上，推动了地方经济和人才培养。</w:t>
      </w:r>
    </w:p>
    <w:p w14:paraId="7DA4B88F">
      <w:pPr>
        <w:rPr>
          <w:rFonts w:hint="eastAsia"/>
        </w:rPr>
      </w:pPr>
      <w:r>
        <w:rPr>
          <w:rFonts w:hint="eastAsia"/>
        </w:rPr>
        <w:t>社会责任与教育支持：项目团队还积极履行社会责任，计划向贫困地区的学校捐赠20台智能外卖柜，帮助解决这些地区在教育资源及设施方面的不足。捐赠的设备将在当地学校使用，提升学生的数字化学习体验。此外，我们还将在项目实施过程中组织志愿者活动，进一步回馈社区，推动社会和谐发展。</w:t>
      </w:r>
    </w:p>
    <w:p w14:paraId="58A66C87">
      <w:pPr>
        <w:pStyle w:val="3"/>
        <w:bidi w:val="0"/>
        <w:ind w:left="575" w:leftChars="0" w:hanging="575" w:firstLineChars="0"/>
        <w:rPr>
          <w:rFonts w:hint="eastAsia"/>
        </w:rPr>
      </w:pPr>
      <w:bookmarkStart w:id="33" w:name="_Toc28417"/>
      <w:r>
        <w:rPr>
          <w:rFonts w:hint="eastAsia"/>
        </w:rPr>
        <w:t>经济效益</w:t>
      </w:r>
      <w:bookmarkEnd w:id="33"/>
      <w:r>
        <w:rPr>
          <w:rFonts w:hint="eastAsia"/>
        </w:rPr>
        <w:t xml:space="preserve">  </w:t>
      </w:r>
    </w:p>
    <w:p w14:paraId="67BBBA67">
      <w:pPr>
        <w:rPr>
          <w:rFonts w:hint="eastAsia"/>
        </w:rPr>
      </w:pPr>
      <w:r>
        <w:rPr>
          <w:rFonts w:hint="eastAsia"/>
        </w:rPr>
        <w:t>投资回报率：项目的投入产出比具有较强的吸引力。根据市场分析与财务预测，预计在项目启动后的3年内回收全部投资，5年内净利润率预计可达到25%。这一高回报率不仅能为投资方带来稳定的资金流入，还能为企业未来的扩张和技术创新提供充足的资金支持。</w:t>
      </w:r>
    </w:p>
    <w:p w14:paraId="613B3688">
      <w:pPr>
        <w:rPr>
          <w:rFonts w:hint="eastAsia"/>
        </w:rPr>
      </w:pPr>
      <w:r>
        <w:rPr>
          <w:rFonts w:hint="eastAsia"/>
        </w:rPr>
        <w:t>市场占有率与行业领导地位：随着项目的成功实施，我们计划在未来5年内占据智能外卖柜市场的领先地位。项目的推广将推动公司品牌知名度的提升，强化市场竞争力，同时促进产业链上下游企业的协同发展。我们预计，随着市场需求的不断扩大，年均销售增长将达到20%以上，为企业带来源源不断的盈利增长。</w:t>
      </w:r>
    </w:p>
    <w:p w14:paraId="56946866">
      <w:pPr>
        <w:pStyle w:val="2"/>
        <w:bidi w:val="0"/>
        <w:ind w:left="432" w:leftChars="0" w:hanging="432" w:firstLineChars="0"/>
        <w:rPr>
          <w:rFonts w:hint="eastAsia"/>
        </w:rPr>
      </w:pPr>
      <w:bookmarkStart w:id="34" w:name="_Toc821"/>
      <w:r>
        <w:rPr>
          <w:rFonts w:hint="eastAsia"/>
        </w:rPr>
        <w:t>工程师伦理道德</w:t>
      </w:r>
      <w:bookmarkEnd w:id="34"/>
      <w:r>
        <w:rPr>
          <w:rFonts w:hint="eastAsia"/>
        </w:rPr>
        <w:t xml:space="preserve">  </w:t>
      </w:r>
    </w:p>
    <w:p w14:paraId="220BC8E1">
      <w:pPr>
        <w:pStyle w:val="3"/>
        <w:bidi w:val="0"/>
        <w:ind w:left="575" w:leftChars="0" w:hanging="575" w:firstLineChars="0"/>
        <w:rPr>
          <w:rFonts w:hint="eastAsia"/>
        </w:rPr>
      </w:pPr>
      <w:bookmarkStart w:id="35" w:name="_Toc11166"/>
      <w:r>
        <w:rPr>
          <w:rFonts w:hint="eastAsia"/>
        </w:rPr>
        <w:t>数据隐私保护：</w:t>
      </w:r>
      <w:bookmarkEnd w:id="35"/>
    </w:p>
    <w:p w14:paraId="1B211CFF">
      <w:pPr>
        <w:rPr>
          <w:rFonts w:hint="eastAsia"/>
        </w:rPr>
      </w:pPr>
      <w:r>
        <w:rPr>
          <w:rFonts w:hint="eastAsia"/>
        </w:rPr>
        <w:t>为确保用户个人信息的安全和隐私，我们严格遵循相关法律法规，采取多项保护措施：</w:t>
      </w:r>
    </w:p>
    <w:p w14:paraId="2441A09A">
      <w:pPr>
        <w:rPr>
          <w:rFonts w:hint="eastAsia"/>
        </w:rPr>
      </w:pPr>
      <w:r>
        <w:rPr>
          <w:rFonts w:hint="eastAsia"/>
        </w:rPr>
        <w:t>用户的生物信息将进行加密存储，确保数据的安全性，并严格防止任何未经授权的第三方访问。</w:t>
      </w:r>
    </w:p>
    <w:p w14:paraId="71DB50DE"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提供“一键删除”功能，用户可随时选择注销个人数据，保障用户的知情同意权和控制权。所有数据将在用户选择删除时完全清除，确保用户隐私不受侵害。</w:t>
      </w:r>
    </w:p>
    <w:p w14:paraId="3FD3F480">
      <w:pPr>
        <w:pStyle w:val="3"/>
        <w:bidi w:val="0"/>
        <w:ind w:left="575" w:leftChars="0" w:hanging="575" w:firstLineChars="0"/>
        <w:rPr>
          <w:rFonts w:hint="eastAsia"/>
        </w:rPr>
      </w:pPr>
      <w:bookmarkStart w:id="36" w:name="_Toc21000"/>
      <w:r>
        <w:rPr>
          <w:rFonts w:hint="eastAsia"/>
        </w:rPr>
        <w:t>技术透明与公平性：</w:t>
      </w:r>
      <w:bookmarkEnd w:id="36"/>
    </w:p>
    <w:p w14:paraId="2E2834B9">
      <w:pPr>
        <w:rPr>
          <w:rFonts w:hint="eastAsia"/>
        </w:rPr>
      </w:pPr>
      <w:r>
        <w:rPr>
          <w:rFonts w:hint="eastAsia"/>
        </w:rPr>
        <w:t>在技术实现过程中，我们承诺保持高度的透明度，定期公开算法偏差率检测报告。这些报告将展示人脸识别算法的准确度和潜在偏差，以确保算法在不同群体间的公平性。特别是在种族、性别等敏感领域，我们将严格监控和修正算法偏差，避免任何形式的歧视或不公平对待。</w:t>
      </w:r>
    </w:p>
    <w:p w14:paraId="470756FE">
      <w:pPr>
        <w:rPr>
          <w:rFonts w:hint="eastAsia"/>
        </w:rPr>
      </w:pPr>
      <w:r>
        <w:rPr>
          <w:rFonts w:hint="eastAsia"/>
        </w:rPr>
        <w:t>我们将在整个项目生命周期中，持续优化和更新算法，确保技术始终处于最公正、透明的状态。</w:t>
      </w:r>
    </w:p>
    <w:p w14:paraId="48539972">
      <w:pPr>
        <w:pStyle w:val="3"/>
        <w:bidi w:val="0"/>
        <w:ind w:left="575" w:leftChars="0" w:hanging="575" w:firstLineChars="0"/>
        <w:rPr>
          <w:rFonts w:hint="eastAsia"/>
        </w:rPr>
      </w:pPr>
      <w:bookmarkStart w:id="37" w:name="_Toc21453"/>
      <w:r>
        <w:rPr>
          <w:rFonts w:hint="eastAsia"/>
        </w:rPr>
        <w:t>合规性与法律要求：</w:t>
      </w:r>
      <w:bookmarkEnd w:id="37"/>
    </w:p>
    <w:p w14:paraId="4BEB3C09">
      <w:pPr>
        <w:rPr>
          <w:rFonts w:hint="eastAsia"/>
        </w:rPr>
      </w:pPr>
      <w:r>
        <w:rPr>
          <w:rFonts w:hint="eastAsia"/>
        </w:rPr>
        <w:t>项目开发和运营过程中，我们将严格遵循国家关于人脸识别技术的数据安全要求，确保所有技术产品符合《信息安全技术人脸识别数据安全要求》等法律标准。我们将通过各类认证程序，确保项目的合法性和合规性，确保在法律框架下安全、合理地使用用户数据。</w:t>
      </w:r>
    </w:p>
    <w:p w14:paraId="68C4A532">
      <w:pPr>
        <w:pStyle w:val="3"/>
        <w:bidi w:val="0"/>
        <w:ind w:left="575" w:leftChars="0" w:hanging="575" w:firstLineChars="0"/>
        <w:rPr>
          <w:rFonts w:hint="eastAsia"/>
        </w:rPr>
      </w:pPr>
      <w:bookmarkStart w:id="38" w:name="_Toc13219"/>
      <w:r>
        <w:rPr>
          <w:rFonts w:hint="eastAsia"/>
        </w:rPr>
        <w:t>材料选购的诚信要求：</w:t>
      </w:r>
      <w:bookmarkEnd w:id="38"/>
    </w:p>
    <w:p w14:paraId="2EE2E9A8">
      <w:pPr>
        <w:rPr>
          <w:rFonts w:hint="eastAsia"/>
        </w:rPr>
      </w:pPr>
      <w:r>
        <w:rPr>
          <w:rFonts w:hint="eastAsia"/>
        </w:rPr>
        <w:t>在项目材料的选购过程中，我们将严格遵循公开、公正、透明的采购流程，确保所有采购活动符合伦理和法律规定。我们坚决反对任何形式的贪污或舞弊行为，所有材料采购均将通过透明的招标或竞标程序进行。</w:t>
      </w:r>
    </w:p>
    <w:p w14:paraId="7B6A29E0">
      <w:pPr>
        <w:rPr>
          <w:rFonts w:hint="eastAsia"/>
        </w:rPr>
      </w:pPr>
      <w:r>
        <w:rPr>
          <w:rFonts w:hint="eastAsia"/>
        </w:rPr>
        <w:t>在选购过程中，我们强调供应商和相关人员的道德责任，所有采购决策都必须基于质量、价格、供应商信誉等因素，而非个人私利。我们坚信只有通过公平、诚实的采购流程，才能保证项目的长期可持续发展。</w:t>
      </w:r>
    </w:p>
    <w:p w14:paraId="56652F9A">
      <w:pPr>
        <w:pStyle w:val="2"/>
        <w:bidi w:val="0"/>
        <w:ind w:left="432" w:leftChars="0" w:hanging="432" w:firstLineChars="0"/>
        <w:rPr>
          <w:rFonts w:hint="eastAsia"/>
        </w:rPr>
      </w:pPr>
      <w:bookmarkStart w:id="39" w:name="_Toc22560"/>
      <w:r>
        <w:rPr>
          <w:rFonts w:hint="eastAsia"/>
        </w:rPr>
        <w:t>项目管理流程</w:t>
      </w:r>
      <w:bookmarkEnd w:id="39"/>
      <w:r>
        <w:rPr>
          <w:rFonts w:hint="eastAsia"/>
        </w:rPr>
        <w:t xml:space="preserve">  </w:t>
      </w:r>
    </w:p>
    <w:p w14:paraId="3FA286FB">
      <w:pPr>
        <w:pStyle w:val="3"/>
        <w:bidi w:val="0"/>
        <w:ind w:left="575" w:leftChars="0" w:hanging="575" w:firstLineChars="0"/>
        <w:rPr>
          <w:rFonts w:hint="eastAsia"/>
        </w:rPr>
      </w:pPr>
      <w:bookmarkStart w:id="40" w:name="_Toc1121"/>
      <w:r>
        <w:rPr>
          <w:rFonts w:hint="eastAsia"/>
        </w:rPr>
        <w:t>流程框架</w:t>
      </w:r>
      <w:bookmarkEnd w:id="40"/>
    </w:p>
    <w:p w14:paraId="759D2A7D">
      <w:pPr>
        <w:rPr>
          <w:rFonts w:hint="eastAsia"/>
        </w:rPr>
      </w:pPr>
      <w:r>
        <w:rPr>
          <w:rFonts w:hint="eastAsia"/>
        </w:rPr>
        <w:t>在项目管理过程中，按照标准的项目生命周期，我们将整个过程分为五个阶段，每个阶段都设有明确的目标和交付物，以确保项目能够按时、按质量完成。</w:t>
      </w:r>
    </w:p>
    <w:p w14:paraId="148CAA2C">
      <w:pPr>
        <w:pStyle w:val="4"/>
        <w:bidi w:val="0"/>
        <w:ind w:left="720" w:leftChars="0" w:hanging="720" w:firstLineChars="0"/>
        <w:rPr>
          <w:rFonts w:hint="eastAsia"/>
        </w:rPr>
      </w:pPr>
      <w:bookmarkStart w:id="41" w:name="_Toc16745"/>
      <w:r>
        <w:rPr>
          <w:rFonts w:hint="eastAsia"/>
        </w:rPr>
        <w:t>启动阶段：</w:t>
      </w:r>
      <w:bookmarkEnd w:id="41"/>
    </w:p>
    <w:p w14:paraId="35083315">
      <w:pPr>
        <w:rPr>
          <w:rFonts w:hint="eastAsia"/>
        </w:rPr>
      </w:pPr>
      <w:r>
        <w:rPr>
          <w:rFonts w:hint="eastAsia"/>
        </w:rPr>
        <w:t>立项审批：明确项目的目标、资源需求、初步预算等，经过相关审批程序后正式启动项目。</w:t>
      </w:r>
    </w:p>
    <w:p w14:paraId="1B841505">
      <w:pPr>
        <w:rPr>
          <w:rFonts w:hint="eastAsia"/>
        </w:rPr>
      </w:pPr>
      <w:r>
        <w:rPr>
          <w:rFonts w:hint="eastAsia"/>
        </w:rPr>
        <w:t>章程签署：项目章程的制定和签署，明确各方职责、工作范围、项目目标等，为项目的顺利开展提供框架支持。</w:t>
      </w:r>
    </w:p>
    <w:p w14:paraId="103B1446">
      <w:pPr>
        <w:pStyle w:val="4"/>
        <w:bidi w:val="0"/>
        <w:ind w:left="720" w:leftChars="0" w:hanging="720" w:firstLineChars="0"/>
        <w:rPr>
          <w:rFonts w:hint="eastAsia"/>
        </w:rPr>
      </w:pPr>
      <w:bookmarkStart w:id="42" w:name="_Toc22559"/>
      <w:r>
        <w:rPr>
          <w:rFonts w:hint="eastAsia"/>
        </w:rPr>
        <w:t>规划阶段：</w:t>
      </w:r>
      <w:bookmarkEnd w:id="42"/>
    </w:p>
    <w:p w14:paraId="525BFAA0">
      <w:pPr>
        <w:rPr>
          <w:rFonts w:hint="eastAsia"/>
        </w:rPr>
      </w:pPr>
      <w:r>
        <w:rPr>
          <w:rFonts w:hint="eastAsia"/>
        </w:rPr>
        <w:t>输出工作分解结构：将项目的各项工作进行分解，形成详细的工作包，以便进行任务分配、进度安排和资源调配。</w:t>
      </w:r>
    </w:p>
    <w:p w14:paraId="145A4346">
      <w:pPr>
        <w:rPr>
          <w:rFonts w:hint="eastAsia"/>
        </w:rPr>
      </w:pPr>
      <w:r>
        <w:rPr>
          <w:rFonts w:hint="eastAsia"/>
        </w:rPr>
        <w:t>风险计划：识别项目可能面临的风险，并为每个风险制定应对措施，确保项目能够顺利推进。</w:t>
      </w:r>
    </w:p>
    <w:p w14:paraId="419079AC">
      <w:pPr>
        <w:rPr>
          <w:rFonts w:hint="eastAsia"/>
        </w:rPr>
      </w:pPr>
      <w:r>
        <w:rPr>
          <w:rFonts w:hint="eastAsia"/>
        </w:rPr>
        <w:t>预算表：制定详细的项目预算，涵盖所有的硬件、软件、人员和外部服务费用，为项目的资金安排提供依据。</w:t>
      </w:r>
    </w:p>
    <w:p w14:paraId="0F9AEED5">
      <w:pPr>
        <w:pStyle w:val="4"/>
        <w:bidi w:val="0"/>
        <w:ind w:left="720" w:leftChars="0" w:hanging="720" w:firstLineChars="0"/>
        <w:rPr>
          <w:rFonts w:hint="eastAsia"/>
        </w:rPr>
      </w:pPr>
      <w:bookmarkStart w:id="43" w:name="_Toc12543"/>
      <w:r>
        <w:rPr>
          <w:rFonts w:hint="eastAsia"/>
        </w:rPr>
        <w:t>执行阶段：</w:t>
      </w:r>
      <w:bookmarkEnd w:id="43"/>
    </w:p>
    <w:p w14:paraId="237FBC5C">
      <w:pPr>
        <w:rPr>
          <w:rFonts w:hint="eastAsia"/>
        </w:rPr>
      </w:pPr>
      <w:r>
        <w:rPr>
          <w:rFonts w:hint="eastAsia"/>
        </w:rPr>
        <w:t>任务分派：根据工作分解结构，明确各个任务的负责人和完成时限，确保项目团队成员能够高效协作。</w:t>
      </w:r>
    </w:p>
    <w:p w14:paraId="7DC9CA60">
      <w:pPr>
        <w:rPr>
          <w:rFonts w:hint="eastAsia"/>
        </w:rPr>
      </w:pPr>
      <w:r>
        <w:rPr>
          <w:rFonts w:hint="eastAsia"/>
        </w:rPr>
        <w:t>进度监控：通过定期的进度评审，确保项目按时推进，及时调整进度，防止出现延误。</w:t>
      </w:r>
    </w:p>
    <w:p w14:paraId="0ECD7717">
      <w:pPr>
        <w:rPr>
          <w:rFonts w:hint="eastAsia"/>
        </w:rPr>
      </w:pPr>
      <w:r>
        <w:rPr>
          <w:rFonts w:hint="eastAsia"/>
        </w:rPr>
        <w:t>质量检查：对项目成果进行定期的质量检查，确保交付的产品满足设计要求和客户需求。</w:t>
      </w:r>
    </w:p>
    <w:p w14:paraId="72AD43D1">
      <w:pPr>
        <w:pStyle w:val="4"/>
        <w:bidi w:val="0"/>
        <w:ind w:left="720" w:leftChars="0" w:hanging="720" w:firstLineChars="0"/>
        <w:rPr>
          <w:rFonts w:hint="eastAsia"/>
        </w:rPr>
      </w:pPr>
      <w:bookmarkStart w:id="44" w:name="_Toc31750"/>
      <w:r>
        <w:rPr>
          <w:rFonts w:hint="eastAsia"/>
        </w:rPr>
        <w:t>监控阶段：</w:t>
      </w:r>
      <w:bookmarkEnd w:id="44"/>
    </w:p>
    <w:p w14:paraId="18CB0B30">
      <w:pPr>
        <w:rPr>
          <w:rFonts w:hint="eastAsia"/>
        </w:rPr>
      </w:pPr>
      <w:r>
        <w:rPr>
          <w:rFonts w:hint="eastAsia"/>
        </w:rPr>
        <w:t>偏差分析：对项目执行过程中出现的偏差进行详细分析，找出原因，制定纠正措施。</w:t>
      </w:r>
    </w:p>
    <w:p w14:paraId="5E1C5A87">
      <w:pPr>
        <w:rPr>
          <w:rFonts w:hint="eastAsia"/>
        </w:rPr>
      </w:pPr>
      <w:r>
        <w:rPr>
          <w:rFonts w:hint="eastAsia"/>
        </w:rPr>
        <w:t>变更控制：在项目执行过程中，如果出现需求或范围变更，将通过正式的变更控制程序，确保变更被合理管理并得到各方的确认。</w:t>
      </w:r>
    </w:p>
    <w:p w14:paraId="54416858">
      <w:pPr>
        <w:pStyle w:val="4"/>
        <w:bidi w:val="0"/>
        <w:ind w:left="720" w:leftChars="0" w:hanging="720" w:firstLineChars="0"/>
        <w:rPr>
          <w:rFonts w:hint="eastAsia"/>
        </w:rPr>
      </w:pPr>
      <w:bookmarkStart w:id="45" w:name="_Toc21486"/>
      <w:r>
        <w:rPr>
          <w:rFonts w:hint="eastAsia"/>
        </w:rPr>
        <w:t>收尾阶段：</w:t>
      </w:r>
      <w:bookmarkEnd w:id="45"/>
    </w:p>
    <w:p w14:paraId="71604FE3">
      <w:pPr>
        <w:rPr>
          <w:rFonts w:hint="eastAsia"/>
        </w:rPr>
      </w:pPr>
      <w:r>
        <w:rPr>
          <w:rFonts w:hint="eastAsia"/>
        </w:rPr>
        <w:t>验收交付：项目完成后，进行最终的交付验收，确认项目成果符合合同和需求规格，完成交接。</w:t>
      </w:r>
    </w:p>
    <w:p w14:paraId="2CB2DA58">
      <w:pPr>
        <w:rPr>
          <w:rFonts w:hint="eastAsia"/>
        </w:rPr>
      </w:pPr>
      <w:r>
        <w:rPr>
          <w:rFonts w:hint="eastAsia"/>
        </w:rPr>
        <w:t>知识归档：总结项目经验，将项目过程中产生的文档、报告、工具等进行归档，形成公司知识库。</w:t>
      </w:r>
    </w:p>
    <w:p w14:paraId="71AB087D">
      <w:pPr>
        <w:rPr>
          <w:rFonts w:hint="eastAsia"/>
        </w:rPr>
      </w:pPr>
      <w:r>
        <w:rPr>
          <w:rFonts w:hint="eastAsia"/>
        </w:rPr>
        <w:t>项目复盘：对整个项目进行回顾，总结成功经验与不足之处，为后续项目提供改进的依据。</w:t>
      </w:r>
    </w:p>
    <w:p w14:paraId="0B1E5699">
      <w:pPr>
        <w:pStyle w:val="3"/>
        <w:bidi w:val="0"/>
        <w:ind w:left="575" w:leftChars="0" w:hanging="575" w:firstLineChars="0"/>
        <w:rPr>
          <w:rFonts w:hint="eastAsia"/>
        </w:rPr>
      </w:pPr>
      <w:bookmarkStart w:id="46" w:name="_Toc13163"/>
      <w:r>
        <w:rPr>
          <w:rFonts w:hint="eastAsia"/>
        </w:rPr>
        <w:t>关键流程文档</w:t>
      </w:r>
      <w:bookmarkEnd w:id="46"/>
    </w:p>
    <w:p w14:paraId="2AB25A9F">
      <w:pPr>
        <w:rPr>
          <w:rFonts w:hint="eastAsia"/>
        </w:rPr>
      </w:pPr>
      <w:r>
        <w:rPr>
          <w:rFonts w:hint="eastAsia"/>
        </w:rPr>
        <w:t>为确保项目的顺利进行，所有关键流程都将有相应的文档支持，确保信息传递透明、决策有据可依。</w:t>
      </w:r>
    </w:p>
    <w:p w14:paraId="584070E4">
      <w:pPr>
        <w:rPr>
          <w:rFonts w:hint="eastAsia"/>
        </w:rPr>
      </w:pPr>
      <w:r>
        <w:rPr>
          <w:rFonts w:hint="eastAsia"/>
        </w:rPr>
        <w:t>《需求规格说明书》：详细列出项目的目标、功能需求、性能要求、技术规范等内容，是项目各方明确项目需求的基础文档。</w:t>
      </w:r>
    </w:p>
    <w:p w14:paraId="0A07F6E6">
      <w:pPr>
        <w:rPr>
          <w:rFonts w:hint="eastAsia"/>
        </w:rPr>
      </w:pPr>
      <w:r>
        <w:rPr>
          <w:rFonts w:hint="eastAsia"/>
        </w:rPr>
        <w:t>《变更申请单》：当项目过程中发生需求变更或范围调整时，变更申请单将作为正式的变更请求，经过变更控制委员会审批，确保项目变更在可控范围内。</w:t>
      </w:r>
    </w:p>
    <w:p w14:paraId="2C2A26DA">
      <w:pPr>
        <w:rPr>
          <w:rFonts w:hint="eastAsia"/>
        </w:rPr>
      </w:pPr>
      <w:r>
        <w:rPr>
          <w:rFonts w:hint="eastAsia"/>
        </w:rPr>
        <w:t>《最终验收报告》：项目完成后，提交最终验收报告，详细描述项目交付的成果，确认是否符合最初的目标和需求，并对项目的实施过程进行总结。</w:t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汉仪君黑-45简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DB7DD8"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DCA287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mF77cAgAAJA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zM8xEiSBgp+&#10;/+3r/fef9z++oKGXZ6vtGKIWGuLc7krtoGn6fQubnvWuMo3/Bz4I/CDu3UFctnOI+kPpIE0jcFHw&#10;9QvAD4/HtbHuFVMN8kaGDVSvFZVs5tZ1oX2Iv02qggvRVlBItAUKp2dRe+DgAXAhfSxkARh7q6vM&#10;p1E0uk6v0yRIBsPrIInyPJgWsyQYFvH5WX6az2Z5/Nnjxcm45mXJpL+v75I4eV4V9p3S1ffQJ1YJ&#10;Xno4n5I1q+VMGLQh0KVF+/MKQ/IPwsLHabRuYPWEUjxIoqvBKCiG6XmQFMlZMDqP0iCKR1ejYZSM&#10;krx4TGnOJft3So/Uf5A0GfuCHbgtBaEf/krNp3OkBgr0hQt9H3b95i23W+5AIm8uVXkHvWlU97it&#10;pgWHS+fEulti4DVDz8G8czfwqYSCPlF7C6NamY9/2vfxUF7wYrSF6ZBhCcMQI/FawuMDQNcbpjeW&#10;vSHXzUxBIWOYo5q2JhwwTvRmZVTzHobg1N8BLiIp3JRh15sz100oGKKUTadt0Fobvqq7AzA6NHFz&#10;udDUX9O2kJ6uHbyH9pkcVQEp/QKGRyvqftD56fRw3UYdh/vk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AqZhe+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2DCA287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58F658"/>
    <w:multiLevelType w:val="multilevel"/>
    <w:tmpl w:val="FD58F65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128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9C66CD"/>
    <w:rsid w:val="7CB4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after="330" w:afterLines="0" w:line="576" w:lineRule="auto"/>
      <w:ind w:left="432" w:hanging="432" w:firstLineChars="0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after="260" w:afterLines="0" w:line="413" w:lineRule="auto"/>
      <w:ind w:left="575" w:hanging="575" w:firstLineChars="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rFonts w:eastAsia="黑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sz w:val="21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rFonts w:eastAsia="黑体"/>
      <w:b/>
      <w:sz w:val="21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uiPriority w:val="0"/>
  </w:style>
  <w:style w:type="paragraph" w:styleId="15">
    <w:name w:val="toc 2"/>
    <w:basedOn w:val="1"/>
    <w:next w:val="1"/>
    <w:uiPriority w:val="0"/>
    <w:pPr>
      <w:ind w:left="420" w:leftChars="200"/>
    </w:pPr>
  </w:style>
  <w:style w:type="paragraph" w:styleId="1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0">
    <w:name w:val="Strong"/>
    <w:basedOn w:val="1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2025-05-11T06:46:30Z</dcterms:created>
  <dc:creator>dai</dc:creator>
  <cp:lastModifiedBy>female celestial</cp:lastModifiedBy>
  <dcterms:modified xsi:type="dcterms:W3CDTF">2025-05-11T08:42:47Z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eyJoZGlkIjoiOWY5MzVlZTIxZmFjMTM5Njk4ODc0YWVhNzAxOTZlMjQiLCJ1c2VySWQiOiIxNTA5NTI3OTI4In0=</vt:lpwstr>
  </property>
  <property fmtid="{D5CDD505-2E9C-101B-9397-08002B2CF9AE}" pid="4" name="ICV">
    <vt:lpwstr>FDBC3C9F1A494367881EB607B4C898BC_12</vt:lpwstr>
  </property>
</Properties>
</file>