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Readmission</w:t>
      </w:r>
      <w:r>
        <w:t xml:space="preserve"> </w:t>
      </w:r>
      <w:r>
        <w:t xml:space="preserve">Probability</w:t>
      </w:r>
      <w:r>
        <w:t xml:space="preserve"> </w:t>
      </w:r>
      <w:r>
        <w:t xml:space="preserve">for</w:t>
      </w:r>
      <w:r>
        <w:t xml:space="preserve"> </w:t>
      </w:r>
      <w:r>
        <w:t xml:space="preserve">Diabetes</w:t>
      </w:r>
      <w:r>
        <w:t xml:space="preserve"> </w:t>
      </w:r>
      <w:r>
        <w:t xml:space="preserve">Inpatients</w:t>
      </w:r>
    </w:p>
    <w:p>
      <w:pPr>
        <w:pStyle w:val="Subtitle"/>
      </w:pPr>
      <w:r>
        <w:t xml:space="preserve">STAT</w:t>
      </w:r>
      <w:r>
        <w:t xml:space="preserve"> </w:t>
      </w:r>
      <w:r>
        <w:t xml:space="preserve">471,</w:t>
      </w:r>
      <w:r>
        <w:t xml:space="preserve"> </w:t>
      </w:r>
      <w:r>
        <w:t xml:space="preserve">Qiaochu</w:t>
      </w:r>
      <w:r>
        <w:t xml:space="preserve"> </w:t>
      </w:r>
      <w:r>
        <w:t xml:space="preserve">Guo</w:t>
      </w:r>
    </w:p>
    <w:p>
      <w:pPr>
        <w:pStyle w:val="Date"/>
      </w:pPr>
      <w:r>
        <w:t xml:space="preserve">Nov</w:t>
      </w:r>
      <w:r>
        <w:t xml:space="preserve"> </w:t>
      </w:r>
      <w:r>
        <w:t xml:space="preserve">18th,</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executive-summary"/>
      <w:r>
        <w:t xml:space="preserve">Executive Summary</w:t>
      </w:r>
      <w:bookmarkEnd w:id="20"/>
    </w:p>
    <w:p>
      <w:pPr>
        <w:pStyle w:val="Heading2"/>
      </w:pPr>
      <w:bookmarkStart w:id="21" w:name="motivation"/>
      <w:r>
        <w:t xml:space="preserve">Motivation</w:t>
      </w:r>
      <w:bookmarkEnd w:id="21"/>
    </w:p>
    <w:p>
      <w:pPr>
        <w:pStyle w:val="FirstParagraph"/>
      </w:pPr>
      <w:r>
        <w:t xml:space="preserve">The percentage of adult with Diabetes has risen from 4.7% in 1980 to 8.5% in 2014, and the WHO expects the rate to continue rising. Currently, it is costing the US about $245 billion each year and has thus become a significant social as well as economic burden to the country. In 2012, the Centers for Medicare and Medicaid Services announced that they would no longer reimburse hospitals for services rendered if a patient was readmitted with complications within 30 days of discharge. This policy change provides extra incentive for us, the healthcare provider, to figure out how to decrease admission rate, hopefully by offering sufficient treatment to all patients when they are admitted into the hospital for the first time.</w:t>
      </w:r>
    </w:p>
    <w:p>
      <w:pPr>
        <w:pStyle w:val="BodyText"/>
      </w:pPr>
      <w:r>
        <w:t xml:space="preserve">Diabetes is a chronic condition and can be managed in most cases (type II diabetes). With proper control through medications and lifestyle changes, diabetes onsets can be mostly prevented and thus avoiding the complications brought along with the onsets, which result in costly treatments required through the hospital system. Therefore, active human effort can be made to meaningfully improve the re-admission rate, and it is our goal in this report to find out what factors to watch out for and which procedures prove to work.</w:t>
      </w:r>
    </w:p>
    <w:p>
      <w:pPr>
        <w:pStyle w:val="Heading2"/>
      </w:pPr>
      <w:bookmarkStart w:id="22" w:name="data-overview"/>
      <w:r>
        <w:t xml:space="preserve">Data Overview</w:t>
      </w:r>
      <w:bookmarkEnd w:id="22"/>
    </w:p>
    <w:p>
      <w:pPr>
        <w:pStyle w:val="FirstParagraph"/>
      </w:pPr>
      <w:r>
        <w:t xml:space="preserve">This report uses a cleaned up version of data from the Center for Clinical and Translational Research at Virginia Commonwealth University. It documented over 100,000 unique hospital admissions about ~70,000 patients who stayed for inpatient visits in 130 US hospitals over the 10 years from 1999 to 2008. The dataset records mainly 5 categories of information about the patients: 1) demographic information such as race, gender and age; 2) hospital visit record about number and types of past visits such as emergency vs outpatient, as well as how the patient is admitted and discharged; 3) clinical information such as symptom diagnoses and number of procedures; 4) lab test results of diabetes indicators such as glucose serum level 5) medication prescription type and dosage changes;</w:t>
      </w:r>
    </w:p>
    <w:p>
      <w:pPr>
        <w:pStyle w:val="BodyText"/>
      </w:pPr>
      <w:r>
        <w:t xml:space="preserve">After initial EDA, we retained most of the observations in readmission.csv, only excluding the 3 gender Invalid/Unknown cases and thus resulting in a dataset of size 101,763 entries. We treated the NA’s in race and tertiary diagnose as an additional level of categorical variables and log transformed five variables with extremely skewed distribution (detail see EDA section below).</w:t>
      </w:r>
    </w:p>
    <w:p>
      <w:pPr>
        <w:pStyle w:val="Heading2"/>
      </w:pPr>
      <w:bookmarkStart w:id="23" w:name="methods-and-models"/>
      <w:r>
        <w:t xml:space="preserve">Methods and Models</w:t>
      </w:r>
      <w:bookmarkEnd w:id="23"/>
    </w:p>
    <w:p>
      <w:pPr>
        <w:pStyle w:val="FirstParagraph"/>
      </w:pPr>
      <w:r>
        <w:t xml:space="preserve">With the 28 variables available to be used for prediction (31 features in the dataset, 2 of them are IDs and 1 is the response variable), we first explored their relationships and added three interaction terms. Then separated the dataset into three portions train, validation, and test data following a 8:1:1 proportion.</w:t>
      </w:r>
    </w:p>
    <w:p>
      <w:pPr>
        <w:pStyle w:val="BodyText"/>
      </w:pPr>
      <w:r>
        <w:t xml:space="preserve">Using the training data, we conducted backward elimination and created Model.backward, with 14 variables all at 0.05 significance. We also conducted lasso model selection and created Model.lasso, with 7 variables. After comparing them by AUC and misclassification error (with Bayes rule 2:1 penalty) on the validation set, we decided to use the lasso model as the final model. It has slightly lower AUC than Model.backward, yet it has lower misclassification error which we cares more about in the final model used for future predictions. More importantly, it is much sparser than the Model.backward and all of its coefficients are significant at 0.01 level, which means lower chance of overfitting, more likely to generalize well for new data coming in for prediction and also, greater ease of use and lower cost– the hospital needs to collect much less data on a patient to make a decision.</w:t>
      </w:r>
    </w:p>
    <w:p>
      <w:pPr>
        <w:pStyle w:val="Heading2"/>
      </w:pPr>
      <w:bookmarkStart w:id="24" w:name="results"/>
      <w:r>
        <w:t xml:space="preserve">Results</w:t>
      </w:r>
      <w:bookmarkEnd w:id="24"/>
    </w:p>
    <w:p>
      <w:pPr>
        <w:pStyle w:val="FirstParagraph"/>
      </w:pPr>
      <w:r>
        <w:t xml:space="preserve">The Modle.lasso’s 7 variables tell us among the 5 categories of data listed above, hospital visit record, medication prescribtions and diagnoses are especially important, while demographics and lab test results are not. Below are three pieces of key takeaways from the analysis of the coefficients:</w:t>
      </w:r>
    </w:p>
    <w:p>
      <w:pPr>
        <w:numPr>
          <w:numId w:val="1001"/>
          <w:ilvl w:val="0"/>
        </w:numPr>
      </w:pPr>
      <w:r>
        <w:t xml:space="preserve">We should pay special attention to patients with a large number of emergency and inpatient visits, and those who are taking diabetes Medication or many distinct medications in general. We do not believe that these factors</w:t>
      </w:r>
      <w:r>
        <w:t xml:space="preserve"> </w:t>
      </w:r>
      <w:r>
        <w:t xml:space="preserve">“</w:t>
      </w:r>
      <w:r>
        <w:t xml:space="preserve">cause</w:t>
      </w:r>
      <w:r>
        <w:t xml:space="preserve">”</w:t>
      </w:r>
      <w:r>
        <w:t xml:space="preserve"> </w:t>
      </w:r>
      <w:r>
        <w:t xml:space="preserve">readmission, rather, they are indicators that predictively shows one patient to be of high-risk and needs extra attention. For example, we could set up priority service for these patients to set up meetups with doctors and nurses, and we could follow up with them regularly through phone after discharge to monitor their recovery from onsets and prevent &lt;30 day rebounce.</w:t>
      </w:r>
    </w:p>
    <w:p>
      <w:pPr>
        <w:numPr>
          <w:numId w:val="1001"/>
          <w:ilvl w:val="0"/>
        </w:numPr>
      </w:pPr>
      <w:r>
        <w:t xml:space="preserve">Patients discharged to home (without Home Health Service) has a significantly lower probability to come back within 30 days than patients discharged to home with Home Health Service or SNF and other facilities. This could be explained by that patients discharted to home simply has less severe conditions, but it could also be a very worrying warning sign that our hospital is shifting the responsibility to other health care providers (HHS and SNF) by pre-maturally discharging patients over, only to let their conditions exacerbate and then the patients need to come back for a re-admission within 30 days. It is not only costly with the new policy, but also signals a failure to provide responsible service to let our patients get well as soon as possible. We should re-examine our criteria for discharging to these other facilities and potentially raising the bar of discharge.</w:t>
      </w:r>
    </w:p>
    <w:p>
      <w:pPr>
        <w:numPr>
          <w:numId w:val="1001"/>
          <w:ilvl w:val="0"/>
        </w:numPr>
      </w:pPr>
      <w:r>
        <w:t xml:space="preserve">Patients diagnosed with Diabetes with neurological manifestations (ICD 250.6), occlusion of cerebral arteries (ICD 434) or diabetic coma (ICD 250.2) have a higher chance of readmission. It is possible that it is the case only because these conditions are chronic and physiologically more likely to re-occur, but it is also possible that we are not treating these conditions properly. The hospital should still be careful and could set up special committees to investigate if the treatments to these three conditionc could be improved or if the patients with these conditions could be better advised on how to manage their symptoms.</w:t>
      </w:r>
    </w:p>
    <w:p>
      <w:pPr>
        <w:pStyle w:val="Heading2"/>
      </w:pPr>
      <w:bookmarkStart w:id="25" w:name="concerns"/>
      <w:r>
        <w:t xml:space="preserve">Concerns</w:t>
      </w:r>
      <w:bookmarkEnd w:id="25"/>
    </w:p>
    <w:p>
      <w:pPr>
        <w:pStyle w:val="FirstParagraph"/>
      </w:pPr>
      <w:r>
        <w:t xml:space="preserve">The final model (Model.lasso) yields a 0.22 MCE when penalizing twice as much for false negatives as for false positives, thresholding at 0.33. However, worryingly, there is a large disparity between specifiticity (99.20%) and sensitivity (3.90%), meaning that the model is not as useful in pinpointing which patient is going to be re-admitted. We did no re-adjust our cost Bayes rule result, so that we are not subject to data-snooping.</w:t>
      </w:r>
    </w:p>
    <w:p>
      <w:pPr>
        <w:pStyle w:val="BodyText"/>
      </w:pPr>
      <w:r>
        <w:t xml:space="preserve">Thus, our model is not very strong at pinpointing which patients are goint to be re-admits in a binary way. However, the model is still statistically significant and can inform us to better understand what correlates with readmission and therefore take actions in general to reduce the rate, instead of on specific predicted positive patients.</w:t>
      </w:r>
    </w:p>
    <w:p>
      <w:pPr>
        <w:pStyle w:val="Heading1"/>
      </w:pPr>
      <w:bookmarkStart w:id="26" w:name="eda-and-data-preparation"/>
      <w:r>
        <w:t xml:space="preserve">EDA and Data Preparation</w:t>
      </w:r>
      <w:bookmarkEnd w:id="26"/>
    </w:p>
    <w:p>
      <w:pPr>
        <w:pStyle w:val="Heading2"/>
      </w:pPr>
      <w:bookmarkStart w:id="27" w:name="data-cleaning"/>
      <w:r>
        <w:t xml:space="preserve">Data Cleaning</w:t>
      </w:r>
      <w:bookmarkEnd w:id="27"/>
    </w:p>
    <w:p>
      <w:pPr>
        <w:pStyle w:val="FirstParagraph"/>
      </w:pPr>
      <w:r>
        <w:t xml:space="preserve">The dataset contains 101,766 observations and 31 variables, of which 2 are patient IDs and are excluded as a feature, 1 is the response variable and the rest 28 are the initial consideration thought for the logistic model. When examing the levels of all the categorical variables, we found that all levels of all categorical variables are significant except one – gender has 3 Invalid/Unknown entries. Since there are so few of them, we cannot make meaningful inference by setting it as another level, so we drop these 3 observations. Besides that, all categorical variables have at least 150 observations in all levels and we are comfortable with that. (Exhibit 1) Also note that we treated the</w:t>
      </w:r>
      <w:r>
        <w:t xml:space="preserve"> </w:t>
      </w:r>
      <w:r>
        <w:t xml:space="preserve">“</w:t>
      </w:r>
      <w:r>
        <w:t xml:space="preserve">?</w:t>
      </w:r>
      <w:r>
        <w:t xml:space="preserve">”</w:t>
      </w:r>
      <w:r>
        <w:t xml:space="preserve"> </w:t>
      </w:r>
      <w:r>
        <w:t xml:space="preserve">in race and tertiary diagnosis as an extra layer instead of dropping those observations. Here we assume that</w:t>
      </w:r>
      <w:r>
        <w:t xml:space="preserve"> </w:t>
      </w:r>
      <w:r>
        <w:t xml:space="preserve">“</w:t>
      </w:r>
      <w:r>
        <w:t xml:space="preserve">?</w:t>
      </w:r>
      <w:r>
        <w:t xml:space="preserve">”</w:t>
      </w:r>
      <w:r>
        <w:t xml:space="preserve"> </w:t>
      </w:r>
      <w:r>
        <w:t xml:space="preserve">is caused by either by lost of record in which case we assume the population to be a balanced mix of all other levels, or they are lost for a specific reason. Either way, we can treat those</w:t>
      </w:r>
      <w:r>
        <w:t xml:space="preserve"> </w:t>
      </w:r>
      <w:r>
        <w:t xml:space="preserve">“</w:t>
      </w:r>
      <w:r>
        <w:t xml:space="preserve">?</w:t>
      </w:r>
      <w:r>
        <w:t xml:space="preserve">”</w:t>
      </w:r>
      <w:r>
        <w:t xml:space="preserve"> </w:t>
      </w:r>
      <w:r>
        <w:t xml:space="preserve">as homogenuous within group and therefore constitutes as a level.</w:t>
      </w:r>
    </w:p>
    <w:p>
      <w:pPr>
        <w:pStyle w:val="BodyText"/>
      </w:pPr>
      <w:r>
        <w:t xml:space="preserve">We also conducted pairwise histogram to examine the distribution of re-admits and non-readmits across all levels for each categorical data. However, no interesting discovery was made. All categorical variable’s distribution does not exhibit noticable difference controlled for re-admits and non-readmits. For reference, we show the histogram for Tertiary Diagnoses to demonstrate the method (Exhibit 2)</w:t>
      </w:r>
    </w:p>
    <w:p>
      <w:pPr>
        <w:pStyle w:val="Heading1"/>
      </w:pPr>
      <w:bookmarkStart w:id="28" w:name="appendix"/>
      <w:r>
        <w:t xml:space="preserve">Appendix</w:t>
      </w:r>
      <w:bookmarkEnd w:id="28"/>
    </w:p>
    <w:p>
      <w:pPr>
        <w:pStyle w:val="FirstParagraph"/>
      </w:pPr>
      <w:r>
        <w:t xml:space="preserve">If you don’t want to print the R code you wrote (but want to run it, and want to show the results), use a chunk declaration like this: {r, echo=F}</w:t>
      </w:r>
      <w:r>
        <w:t xml:space="preserve"> </w:t>
      </w:r>
      <w:r>
        <w:t xml:space="preserve">• If you don’t want to show the results of the R code or the original code, use a chunk declaration like:</w:t>
      </w:r>
      <w:r>
        <w:t xml:space="preserve"> </w:t>
      </w:r>
      <w:r>
        <w:t xml:space="preserve">{r, include=F}</w:t>
      </w:r>
      <w:r>
        <w:t xml:space="preserve"> </w:t>
      </w:r>
      <w:r>
        <w:t xml:space="preserve">• If you don’t want to show the results, but show the original code, use a chunk declaration like: {r,</w:t>
      </w:r>
      <w:r>
        <w:t xml:space="preserve"> </w:t>
      </w:r>
      <w:r>
        <w:t xml:space="preserve">results=</w:t>
      </w:r>
      <w:r>
        <w:t xml:space="preserve">‘</w:t>
      </w:r>
      <w:r>
        <w:t xml:space="preserve">hide</w:t>
      </w:r>
      <w:r>
        <w:t xml:space="preserve">’</w:t>
      </w:r>
      <w:r>
        <w:t xml:space="preserve">}.</w:t>
      </w:r>
      <w:r>
        <w:t xml:space="preserve"> </w:t>
      </w:r>
      <w:r>
        <w:t xml:space="preserve">• Ifyoudon’twanttoruntheRcodeatalluse{r, eval = F}.</w:t>
      </w:r>
    </w:p>
    <w:p>
      <w:pPr>
        <w:pStyle w:val="BodyText"/>
      </w:pPr>
      <w:r>
        <w:t xml:space="preserve">Exhibit 1: Categorical Data Levels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names</w:t>
      </w:r>
      <w:r>
        <w:rPr>
          <w:rStyle w:val="NormalTok"/>
        </w:rPr>
        <w:t xml:space="preserve">(re_data))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is.factor</w:t>
      </w:r>
      <w:r>
        <w:rPr>
          <w:rStyle w:val="NormalTok"/>
        </w:rPr>
        <w:t xml:space="preserve">(re_data[, i])) {</w:t>
      </w:r>
      <w:r>
        <w:br w:type="textWrapping"/>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(re_data[, i]))</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[1] "race"</w:t>
      </w:r>
      <w:r>
        <w:br w:type="textWrapping"/>
      </w:r>
      <w:r>
        <w:rPr>
          <w:rStyle w:val="VerbatimChar"/>
        </w:rPr>
        <w:t xml:space="preserve">                  ? AfricanAmerican           Asian       Caucasian </w:t>
      </w:r>
      <w:r>
        <w:br w:type="textWrapping"/>
      </w:r>
      <w:r>
        <w:rPr>
          <w:rStyle w:val="VerbatimChar"/>
        </w:rPr>
        <w:t xml:space="preserve">               2273           19210             641           76099 </w:t>
      </w:r>
      <w:r>
        <w:br w:type="textWrapping"/>
      </w:r>
      <w:r>
        <w:rPr>
          <w:rStyle w:val="VerbatimChar"/>
        </w:rPr>
        <w:t xml:space="preserve">           Hispanic           Other </w:t>
      </w:r>
      <w:r>
        <w:br w:type="textWrapping"/>
      </w:r>
      <w:r>
        <w:rPr>
          <w:rStyle w:val="VerbatimChar"/>
        </w:rPr>
        <w:t xml:space="preserve">               2037            1506 </w:t>
      </w:r>
      <w:r>
        <w:br w:type="textWrapping"/>
      </w:r>
      <w:r>
        <w:rPr>
          <w:rStyle w:val="VerbatimChar"/>
        </w:rPr>
        <w:t xml:space="preserve">    [1] "gender"</w:t>
      </w:r>
      <w:r>
        <w:br w:type="textWrapping"/>
      </w:r>
      <w:r>
        <w:rPr>
          <w:rStyle w:val="VerbatimChar"/>
        </w:rPr>
        <w:t xml:space="preserve">             Female            Male Unknown/Invalid </w:t>
      </w:r>
      <w:r>
        <w:br w:type="textWrapping"/>
      </w:r>
      <w:r>
        <w:rPr>
          <w:rStyle w:val="VerbatimChar"/>
        </w:rPr>
        <w:t xml:space="preserve">              54708           47055               3 </w:t>
      </w:r>
      <w:r>
        <w:br w:type="textWrapping"/>
      </w:r>
      <w:r>
        <w:rPr>
          <w:rStyle w:val="VerbatimChar"/>
        </w:rPr>
        <w:t xml:space="preserve">    [1] "max_glu_serum"</w:t>
      </w:r>
      <w:r>
        <w:br w:type="textWrapping"/>
      </w:r>
      <w:r>
        <w:rPr>
          <w:rStyle w:val="VerbatimChar"/>
        </w:rPr>
        <w:t xml:space="preserve">     &gt;200  &gt;300  None  Norm </w:t>
      </w:r>
      <w:r>
        <w:br w:type="textWrapping"/>
      </w:r>
      <w:r>
        <w:rPr>
          <w:rStyle w:val="VerbatimChar"/>
        </w:rPr>
        <w:t xml:space="preserve">     1485  1264 96420  2597 </w:t>
      </w:r>
      <w:r>
        <w:br w:type="textWrapping"/>
      </w:r>
      <w:r>
        <w:rPr>
          <w:rStyle w:val="VerbatimChar"/>
        </w:rPr>
        <w:t xml:space="preserve">    [1] "A1Cresult"</w:t>
      </w:r>
      <w:r>
        <w:br w:type="textWrapping"/>
      </w:r>
      <w:r>
        <w:rPr>
          <w:rStyle w:val="VerbatimChar"/>
        </w:rPr>
        <w:t xml:space="preserve">       &gt;7    &gt;8  None  Norm </w:t>
      </w:r>
      <w:r>
        <w:br w:type="textWrapping"/>
      </w:r>
      <w:r>
        <w:rPr>
          <w:rStyle w:val="VerbatimChar"/>
        </w:rPr>
        <w:t xml:space="preserve">     3812  8216 84748  4990 </w:t>
      </w:r>
      <w:r>
        <w:br w:type="textWrapping"/>
      </w:r>
      <w:r>
        <w:rPr>
          <w:rStyle w:val="VerbatimChar"/>
        </w:rPr>
        <w:t xml:space="preserve">    [1] "metformin"</w:t>
      </w:r>
      <w:r>
        <w:br w:type="textWrapping"/>
      </w:r>
      <w:r>
        <w:rPr>
          <w:rStyle w:val="VerbatimChar"/>
        </w:rPr>
        <w:t xml:space="preserve">      Down     No Steady     Up </w:t>
      </w:r>
      <w:r>
        <w:br w:type="textWrapping"/>
      </w:r>
      <w:r>
        <w:rPr>
          <w:rStyle w:val="VerbatimChar"/>
        </w:rPr>
        <w:t xml:space="preserve">       575  81778  18346   1067 </w:t>
      </w:r>
      <w:r>
        <w:br w:type="textWrapping"/>
      </w:r>
      <w:r>
        <w:rPr>
          <w:rStyle w:val="VerbatimChar"/>
        </w:rPr>
        <w:t xml:space="preserve">    [1] "glimepiride"</w:t>
      </w:r>
      <w:r>
        <w:br w:type="textWrapping"/>
      </w:r>
      <w:r>
        <w:rPr>
          <w:rStyle w:val="VerbatimChar"/>
        </w:rPr>
        <w:t xml:space="preserve">      Down     No Steady     Up </w:t>
      </w:r>
      <w:r>
        <w:br w:type="textWrapping"/>
      </w:r>
      <w:r>
        <w:rPr>
          <w:rStyle w:val="VerbatimChar"/>
        </w:rPr>
        <w:t xml:space="preserve">       194  96575   4670    327 </w:t>
      </w:r>
      <w:r>
        <w:br w:type="textWrapping"/>
      </w:r>
      <w:r>
        <w:rPr>
          <w:rStyle w:val="VerbatimChar"/>
        </w:rPr>
        <w:t xml:space="preserve">    [1] "glipizide"</w:t>
      </w:r>
      <w:r>
        <w:br w:type="textWrapping"/>
      </w:r>
      <w:r>
        <w:rPr>
          <w:rStyle w:val="VerbatimChar"/>
        </w:rPr>
        <w:t xml:space="preserve">      Down     No Steady     Up </w:t>
      </w:r>
      <w:r>
        <w:br w:type="textWrapping"/>
      </w:r>
      <w:r>
        <w:rPr>
          <w:rStyle w:val="VerbatimChar"/>
        </w:rPr>
        <w:t xml:space="preserve">       560  89080  11356    770 </w:t>
      </w:r>
      <w:r>
        <w:br w:type="textWrapping"/>
      </w:r>
      <w:r>
        <w:rPr>
          <w:rStyle w:val="VerbatimChar"/>
        </w:rPr>
        <w:t xml:space="preserve">    [1] "glyburide"</w:t>
      </w:r>
      <w:r>
        <w:br w:type="textWrapping"/>
      </w:r>
      <w:r>
        <w:rPr>
          <w:rStyle w:val="VerbatimChar"/>
        </w:rPr>
        <w:t xml:space="preserve">      Down     No Steady     Up </w:t>
      </w:r>
      <w:r>
        <w:br w:type="textWrapping"/>
      </w:r>
      <w:r>
        <w:rPr>
          <w:rStyle w:val="VerbatimChar"/>
        </w:rPr>
        <w:t xml:space="preserve">       564  91116   9274    812 </w:t>
      </w:r>
      <w:r>
        <w:br w:type="textWrapping"/>
      </w:r>
      <w:r>
        <w:rPr>
          <w:rStyle w:val="VerbatimChar"/>
        </w:rPr>
        <w:t xml:space="preserve">    [1] "pioglitazone"</w:t>
      </w:r>
      <w:r>
        <w:br w:type="textWrapping"/>
      </w:r>
      <w:r>
        <w:rPr>
          <w:rStyle w:val="VerbatimChar"/>
        </w:rPr>
        <w:t xml:space="preserve">      Down     No Steady     Up </w:t>
      </w:r>
      <w:r>
        <w:br w:type="textWrapping"/>
      </w:r>
      <w:r>
        <w:rPr>
          <w:rStyle w:val="VerbatimChar"/>
        </w:rPr>
        <w:t xml:space="preserve">       118  94438   6976    234 </w:t>
      </w:r>
      <w:r>
        <w:br w:type="textWrapping"/>
      </w:r>
      <w:r>
        <w:rPr>
          <w:rStyle w:val="VerbatimChar"/>
        </w:rPr>
        <w:t xml:space="preserve">    [1] "rosiglitazone"</w:t>
      </w:r>
      <w:r>
        <w:br w:type="textWrapping"/>
      </w:r>
      <w:r>
        <w:rPr>
          <w:rStyle w:val="VerbatimChar"/>
        </w:rPr>
        <w:t xml:space="preserve">      Down     No Steady     Up </w:t>
      </w:r>
      <w:r>
        <w:br w:type="textWrapping"/>
      </w:r>
      <w:r>
        <w:rPr>
          <w:rStyle w:val="VerbatimChar"/>
        </w:rPr>
        <w:t xml:space="preserve">        87  95401   6100    178 </w:t>
      </w:r>
      <w:r>
        <w:br w:type="textWrapping"/>
      </w:r>
      <w:r>
        <w:rPr>
          <w:rStyle w:val="VerbatimChar"/>
        </w:rPr>
        <w:t xml:space="preserve">    [1] "insulin"</w:t>
      </w:r>
      <w:r>
        <w:br w:type="textWrapping"/>
      </w:r>
      <w:r>
        <w:rPr>
          <w:rStyle w:val="VerbatimChar"/>
        </w:rPr>
        <w:t xml:space="preserve">      Down     No Steady     Up </w:t>
      </w:r>
      <w:r>
        <w:br w:type="textWrapping"/>
      </w:r>
      <w:r>
        <w:rPr>
          <w:rStyle w:val="VerbatimChar"/>
        </w:rPr>
        <w:t xml:space="preserve">     12218  47383  30849  11316 </w:t>
      </w:r>
      <w:r>
        <w:br w:type="textWrapping"/>
      </w:r>
      <w:r>
        <w:rPr>
          <w:rStyle w:val="VerbatimChar"/>
        </w:rPr>
        <w:t xml:space="preserve">    [1] "change"</w:t>
      </w:r>
      <w:r>
        <w:br w:type="textWrapping"/>
      </w:r>
      <w:r>
        <w:rPr>
          <w:rStyle w:val="VerbatimChar"/>
        </w:rPr>
        <w:t xml:space="preserve">       Ch    No </w:t>
      </w:r>
      <w:r>
        <w:br w:type="textWrapping"/>
      </w:r>
      <w:r>
        <w:rPr>
          <w:rStyle w:val="VerbatimChar"/>
        </w:rPr>
        <w:t xml:space="preserve">    47011 54755 </w:t>
      </w:r>
      <w:r>
        <w:br w:type="textWrapping"/>
      </w:r>
      <w:r>
        <w:rPr>
          <w:rStyle w:val="VerbatimChar"/>
        </w:rPr>
        <w:t xml:space="preserve">    [1] "diabetesMed"</w:t>
      </w:r>
      <w:r>
        <w:br w:type="textWrapping"/>
      </w:r>
      <w:r>
        <w:rPr>
          <w:rStyle w:val="VerbatimChar"/>
        </w:rPr>
        <w:t xml:space="preserve">       No   Yes </w:t>
      </w:r>
      <w:r>
        <w:br w:type="textWrapping"/>
      </w:r>
      <w:r>
        <w:rPr>
          <w:rStyle w:val="VerbatimChar"/>
        </w:rPr>
        <w:t xml:space="preserve">    23403 78363 </w:t>
      </w:r>
      <w:r>
        <w:br w:type="textWrapping"/>
      </w:r>
      <w:r>
        <w:rPr>
          <w:rStyle w:val="VerbatimChar"/>
        </w:rPr>
        <w:t xml:space="preserve">    [1] "disch_disp_modified"</w:t>
      </w:r>
      <w:r>
        <w:br w:type="textWrapping"/>
      </w:r>
      <w:r>
        <w:rPr>
          <w:rStyle w:val="VerbatimChar"/>
        </w:rPr>
        <w:t xml:space="preserve">                             Discharged to home </w:t>
      </w:r>
      <w:r>
        <w:br w:type="textWrapping"/>
      </w:r>
      <w:r>
        <w:rPr>
          <w:rStyle w:val="VerbatimChar"/>
        </w:rPr>
        <w:t xml:space="preserve">                                          60234 </w:t>
      </w:r>
      <w:r>
        <w:br w:type="textWrapping"/>
      </w:r>
      <w:r>
        <w:rPr>
          <w:rStyle w:val="VerbatimChar"/>
        </w:rPr>
        <w:t xml:space="preserve">    Discharged to home with Home Health Service </w:t>
      </w:r>
      <w:r>
        <w:br w:type="textWrapping"/>
      </w:r>
      <w:r>
        <w:rPr>
          <w:rStyle w:val="VerbatimChar"/>
        </w:rPr>
        <w:t xml:space="preserve">                                          12902 </w:t>
      </w:r>
      <w:r>
        <w:br w:type="textWrapping"/>
      </w:r>
      <w:r>
        <w:rPr>
          <w:rStyle w:val="VerbatimChar"/>
        </w:rPr>
        <w:t xml:space="preserve">                  Discharged/Transferred to SNF </w:t>
      </w:r>
      <w:r>
        <w:br w:type="textWrapping"/>
      </w:r>
      <w:r>
        <w:rPr>
          <w:rStyle w:val="VerbatimChar"/>
        </w:rPr>
        <w:t xml:space="preserve">                                          13954 </w:t>
      </w:r>
      <w:r>
        <w:br w:type="textWrapping"/>
      </w:r>
      <w:r>
        <w:rPr>
          <w:rStyle w:val="VerbatimChar"/>
        </w:rPr>
        <w:t xml:space="preserve">                                          Other </w:t>
      </w:r>
      <w:r>
        <w:br w:type="textWrapping"/>
      </w:r>
      <w:r>
        <w:rPr>
          <w:rStyle w:val="VerbatimChar"/>
        </w:rPr>
        <w:t xml:space="preserve">                                          14676 </w:t>
      </w:r>
      <w:r>
        <w:br w:type="textWrapping"/>
      </w:r>
      <w:r>
        <w:rPr>
          <w:rStyle w:val="VerbatimChar"/>
        </w:rPr>
        <w:t xml:space="preserve">    [1] "adm_src_mod"</w:t>
      </w:r>
      <w:r>
        <w:br w:type="textWrapping"/>
      </w:r>
      <w:r>
        <w:rPr>
          <w:rStyle w:val="VerbatimChar"/>
        </w:rPr>
        <w:t xml:space="preserve">               Emergency Room                     Other </w:t>
      </w:r>
      <w:r>
        <w:br w:type="textWrapping"/>
      </w:r>
      <w:r>
        <w:rPr>
          <w:rStyle w:val="VerbatimChar"/>
        </w:rPr>
        <w:t xml:space="preserve">                        57494                      7926 </w:t>
      </w:r>
      <w:r>
        <w:br w:type="textWrapping"/>
      </w:r>
      <w:r>
        <w:rPr>
          <w:rStyle w:val="VerbatimChar"/>
        </w:rPr>
        <w:t xml:space="preserve">           Physician Referral Transfer from Home Health </w:t>
      </w:r>
      <w:r>
        <w:br w:type="textWrapping"/>
      </w:r>
      <w:r>
        <w:rPr>
          <w:rStyle w:val="VerbatimChar"/>
        </w:rPr>
        <w:t xml:space="preserve">                        29565                      6781 </w:t>
      </w:r>
      <w:r>
        <w:br w:type="textWrapping"/>
      </w:r>
      <w:r>
        <w:rPr>
          <w:rStyle w:val="VerbatimChar"/>
        </w:rPr>
        <w:t xml:space="preserve">    [1] "adm_typ_mod"</w:t>
      </w:r>
      <w:r>
        <w:br w:type="textWrapping"/>
      </w:r>
      <w:r>
        <w:rPr>
          <w:rStyle w:val="VerbatimChar"/>
        </w:rPr>
        <w:t xml:space="preserve">     Elective Emergency     Other    Urgent </w:t>
      </w:r>
      <w:r>
        <w:br w:type="textWrapping"/>
      </w:r>
      <w:r>
        <w:rPr>
          <w:rStyle w:val="VerbatimChar"/>
        </w:rPr>
        <w:t xml:space="preserve">        18869     53990     10427     18480 </w:t>
      </w:r>
      <w:r>
        <w:br w:type="textWrapping"/>
      </w:r>
      <w:r>
        <w:rPr>
          <w:rStyle w:val="VerbatimChar"/>
        </w:rPr>
        <w:t xml:space="preserve">    [1] "age_mod"</w:t>
      </w:r>
      <w:r>
        <w:br w:type="textWrapping"/>
      </w:r>
      <w:r>
        <w:rPr>
          <w:rStyle w:val="VerbatimChar"/>
        </w:rPr>
        <w:t xml:space="preserve">     0-19 20-59 60-79   80+ </w:t>
      </w:r>
      <w:r>
        <w:br w:type="textWrapping"/>
      </w:r>
      <w:r>
        <w:rPr>
          <w:rStyle w:val="VerbatimChar"/>
        </w:rPr>
        <w:t xml:space="preserve">      852 32373 48551 19990 </w:t>
      </w:r>
      <w:r>
        <w:br w:type="textWrapping"/>
      </w:r>
      <w:r>
        <w:rPr>
          <w:rStyle w:val="VerbatimChar"/>
        </w:rPr>
        <w:t xml:space="preserve">    [1] "diag1_mod"</w:t>
      </w:r>
      <w:r>
        <w:br w:type="textWrapping"/>
      </w:r>
      <w:r>
        <w:rPr>
          <w:rStyle w:val="VerbatimChar"/>
        </w:rPr>
        <w:t xml:space="preserve">    250.6 250.8   276    38   410   414   427   428   434   435   486   491 </w:t>
      </w:r>
      <w:r>
        <w:br w:type="textWrapping"/>
      </w:r>
      <w:r>
        <w:rPr>
          <w:rStyle w:val="VerbatimChar"/>
        </w:rPr>
        <w:t xml:space="preserve">     1183  1680  1889  1688  3614  6581  2766  6862  2028  1016  3508  2275 </w:t>
      </w:r>
      <w:r>
        <w:br w:type="textWrapping"/>
      </w:r>
      <w:r>
        <w:rPr>
          <w:rStyle w:val="VerbatimChar"/>
        </w:rPr>
        <w:t xml:space="preserve">      493   518   577   584   599   682   715   780   786   820   996 Other </w:t>
      </w:r>
      <w:r>
        <w:br w:type="textWrapping"/>
      </w:r>
      <w:r>
        <w:rPr>
          <w:rStyle w:val="VerbatimChar"/>
        </w:rPr>
        <w:t xml:space="preserve">     1056  1115  1057  1520  1595  2042  2151  2019  4016  1082  1967 47056 </w:t>
      </w:r>
      <w:r>
        <w:br w:type="textWrapping"/>
      </w:r>
      <w:r>
        <w:rPr>
          <w:rStyle w:val="VerbatimChar"/>
        </w:rPr>
        <w:t xml:space="preserve">    [1] "diag2_mod"</w:t>
      </w:r>
      <w:r>
        <w:br w:type="textWrapping"/>
      </w:r>
      <w:r>
        <w:rPr>
          <w:rStyle w:val="VerbatimChar"/>
        </w:rPr>
        <w:t xml:space="preserve">       250 250.01 250.02    276    285    401    403    411    413    414 </w:t>
      </w:r>
      <w:r>
        <w:br w:type="textWrapping"/>
      </w:r>
      <w:r>
        <w:rPr>
          <w:rStyle w:val="VerbatimChar"/>
        </w:rPr>
        <w:t xml:space="preserve">      6071   1523   2074   6752   1520   3736   2823   2566   1042   2650 </w:t>
      </w:r>
      <w:r>
        <w:br w:type="textWrapping"/>
      </w:r>
      <w:r>
        <w:rPr>
          <w:rStyle w:val="VerbatimChar"/>
        </w:rPr>
        <w:t xml:space="preserve">       424    425    427    428    486    491    496    518    584    585 </w:t>
      </w:r>
      <w:r>
        <w:br w:type="textWrapping"/>
      </w:r>
      <w:r>
        <w:rPr>
          <w:rStyle w:val="VerbatimChar"/>
        </w:rPr>
        <w:t xml:space="preserve">      1071   1434   5036   6662   1379   1545   3305   1355   1649   1871 </w:t>
      </w:r>
      <w:r>
        <w:br w:type="textWrapping"/>
      </w:r>
      <w:r>
        <w:rPr>
          <w:rStyle w:val="VerbatimChar"/>
        </w:rPr>
        <w:t xml:space="preserve">       599    682    707    780  Other </w:t>
      </w:r>
      <w:r>
        <w:br w:type="textWrapping"/>
      </w:r>
      <w:r>
        <w:rPr>
          <w:rStyle w:val="VerbatimChar"/>
        </w:rPr>
        <w:t xml:space="preserve">      3288   1433   1999   1491  37491 </w:t>
      </w:r>
      <w:r>
        <w:br w:type="textWrapping"/>
      </w:r>
      <w:r>
        <w:rPr>
          <w:rStyle w:val="VerbatimChar"/>
        </w:rPr>
        <w:t xml:space="preserve">    [1] "diag3_mod"</w:t>
      </w:r>
      <w:r>
        <w:br w:type="textWrapping"/>
      </w:r>
      <w:r>
        <w:rPr>
          <w:rStyle w:val="VerbatimChar"/>
        </w:rPr>
        <w:t xml:space="preserve">         ?    250 250.02  250.6    272    276    285    401    403    414 </w:t>
      </w:r>
      <w:r>
        <w:br w:type="textWrapping"/>
      </w:r>
      <w:r>
        <w:rPr>
          <w:rStyle w:val="VerbatimChar"/>
        </w:rPr>
        <w:t xml:space="preserve">      1423  11555   1369   1080   1969   5175   1200   8289   2357   3664 </w:t>
      </w:r>
      <w:r>
        <w:br w:type="textWrapping"/>
      </w:r>
      <w:r>
        <w:rPr>
          <w:rStyle w:val="VerbatimChar"/>
        </w:rPr>
        <w:t xml:space="preserve">       424    425    427    428    496    585    599    707    780  Other </w:t>
      </w:r>
      <w:r>
        <w:br w:type="textWrapping"/>
      </w:r>
      <w:r>
        <w:rPr>
          <w:rStyle w:val="VerbatimChar"/>
        </w:rPr>
        <w:t xml:space="preserve">      1063   1136   3955   4577   2605   1992   1941   1360   1334  42333 </w:t>
      </w:r>
      <w:r>
        <w:br w:type="textWrapping"/>
      </w:r>
      <w:r>
        <w:rPr>
          <w:rStyle w:val="VerbatimChar"/>
        </w:rPr>
        <w:t xml:space="preserve">       V45 </w:t>
      </w:r>
      <w:r>
        <w:br w:type="textWrapping"/>
      </w:r>
      <w:r>
        <w:rPr>
          <w:rStyle w:val="VerbatimChar"/>
        </w:rPr>
        <w:t xml:space="preserve">      1389 </w:t>
      </w:r>
      <w:r>
        <w:br w:type="textWrapping"/>
      </w:r>
      <w:r>
        <w:rPr>
          <w:rStyle w:val="VerbatimChar"/>
        </w:rPr>
        <w:t xml:space="preserve">    [1] "readmitted"</w:t>
      </w:r>
      <w:r>
        <w:br w:type="textWrapping"/>
      </w:r>
      <w:r>
        <w:rPr>
          <w:rStyle w:val="VerbatimChar"/>
        </w:rPr>
        <w:t xml:space="preserve">      &lt;30   &gt;30    NO </w:t>
      </w:r>
      <w:r>
        <w:br w:type="textWrapping"/>
      </w:r>
      <w:r>
        <w:rPr>
          <w:rStyle w:val="VerbatimChar"/>
        </w:rPr>
        <w:t xml:space="preserve">    11357 35545 54864</w:t>
      </w:r>
    </w:p>
    <w:p>
      <w:pPr>
        <w:pStyle w:val="FirstParagraph"/>
      </w:pPr>
      <w:r>
        <w:t xml:space="preserve">Exhibit 2: Tertiary Diagnosis Distribution for non-readmits vs. readmits</w:t>
      </w:r>
    </w:p>
    <w:p>
      <w:pPr>
        <w:pStyle w:val="BodyText"/>
      </w:pPr>
      <w:r>
        <w:drawing>
          <wp:inline>
            <wp:extent cx="3810000" cy="2540000"/>
            <wp:effectExtent b="0" l="0" r="0" t="0"/>
            <wp:docPr descr="" title="" id="1" name="Picture"/>
            <a:graphic>
              <a:graphicData uri="http://schemas.openxmlformats.org/drawingml/2006/picture">
                <pic:pic>
                  <pic:nvPicPr>
                    <pic:cNvPr descr="Mini_Project_Report_files/figure-docx/unnamed-chunk-3-1.pd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Readmission Probability for Diabetes Inpatients</dc:title>
  <dc:creator/>
  <cp:keywords/>
  <dcterms:created xsi:type="dcterms:W3CDTF">2018-11-21T00:14:03Z</dcterms:created>
  <dcterms:modified xsi:type="dcterms:W3CDTF">2018-11-21T00:14:03Z</dcterms:modified>
</cp:coreProperties>
</file>