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结构力学校核报告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载荷环境 · 不确定性因子 · 裕度体系(MS) · FEA 前置声明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PANO-3U-STR-001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B(解析+梁FE,合并 v4 补遗)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目的与方法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对 PANO-3U 主结构进行准静态、模态与随机振动校核,给出裕度(Margin of Safety, MS)。方法:一维梁有限元(24 单元+9 处集中质量,悬臂边界)+ Miles 随机响应 + 螺钉强度核对。本报告为方案级校核;正式 FEA(ANSYS/NASTRAN,网格 2 mm,导轨绑定,PCB 质量点等效)为飞行件放行前置(开放项 C1),由 STEP 装配体直接建模。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设计环境与输入(含不确定性)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量值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不确定性因子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设计载荷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准静态过载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 g(三向包络)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1.25(系数)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12.5 g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随机振动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GEVS 鉴定 14.1 gRMS(PSD 0.16 g²/Hz 平台)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3σ 峰值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39.2 gRMS / 118 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一阶频率要求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≥100 Hz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≥100 Hz</w:t>
            </w:r>
          </w:p>
        </w:tc>
      </w:tr>
      <w:tr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材料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6061-T6:E=68.9 GPa,σy=276 MPa,ρ=2700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1.0(实效值)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质量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干重 2 359 g;发射 2 831 g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校核取 2 831 g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模态分析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抗弯截面:4 导轨并联 I₁=4×(8.5⁴/12)=0.0607×10⁶ mm⁴;计入侧板弯曲刚度后全截面I=1.354×10⁶ mm⁴。梁 FE 复算(含移轴 d=45.75 mm 与集中质量):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396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f₁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判据 ≥100 Hz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解析(仅导轨,悬臂,保守)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388 Hz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3.9× ✅</w:t>
            </w:r>
          </w:p>
        </w:tc>
      </w:tr>
      <w:tr>
        <w:tc>
          <w:tcPr>
            <w:tcW w:type="dxa" w:w="396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梁 FE(全截面,悬臂)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611 Hz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6.1× ✅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简支(上限)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1 090 Hz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—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静强度与稳定性(10 g×1.25)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校核项</w:t>
            </w:r>
          </w:p>
        </w:tc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载荷/应力</w:t>
            </w:r>
          </w:p>
        </w:tc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许用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MS=(许用/设计−1)</w:t>
            </w:r>
          </w:p>
        </w:tc>
        <w:tc>
          <w:tcPr>
            <w:tcW w:type="dxa" w:w="90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导轨轴向压应力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0.94 MPa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276 MPa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+293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导轨压杆屈曲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实际 67 N / 临界 10 206 N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+151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侧板面内应力(t1.5)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≈15 MPa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276 MPa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+17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隔板弯曲</w:t>
            </w:r>
          </w:p>
        </w:tc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弹性支承薄板,应力低量级</w:t>
            </w:r>
          </w:p>
        </w:tc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—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≫10</w:t>
            </w:r>
          </w:p>
        </w:tc>
        <w:tc>
          <w:tcPr>
            <w:tcW w:type="dxa" w:w="90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5　随机振动与紧固件(3σ 工况)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连接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单钉载荷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应力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许用(A2-70)</w:t>
            </w:r>
          </w:p>
        </w:tc>
        <w:tc>
          <w:tcPr>
            <w:tcW w:type="dxa" w:w="102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MS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电池支架 4×M3(剪)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71.5 N×1.1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11.1 MPa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310 MPa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+27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F2 侧板沉头 M3(拉)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9.5 N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1.9 MPa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450 MPa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+236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相机支架 F14 M2(剪)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7.8 N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4.0 MPa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450 MPa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+112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镜座 F8 M2(剪)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7.1 N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3.6 MPa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450 MPa</w:t>
            </w:r>
          </w:p>
        </w:tc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+124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✅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18"/>
        </w:rPr>
        <w:t>预紧贡献:力矩预紧后结合面不分离判据另满足;全部连接 MS&gt;0 且含不确定因子。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6　结论与遗留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静强度/稳定性/刚度(频率)/紧固件全部满足,最小 MS=+17(侧板),典型 MS≥25;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试验要求:鉴定振动(GEVS)后一阶频率复测衰减&lt;5%,全数螺钉见证标记复查;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遗留:FEA 报告(C1)为飞行件放行前置;PCB 焊点疲劳由 B 阶段试验覆盖。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PANO-3U-STR-001　结构力学校核报告　B(解析+梁FE,合并 v4 补遗)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