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3864"/>
          <w:sz w:val="44"/>
        </w:rPr>
        <w:t>PANO-3U 双鱼眼全景立方星</w:t>
      </w:r>
    </w:p>
    <w:p>
      <w:pPr>
        <w:jc w:val="center"/>
      </w:pPr>
      <w:r>
        <w:rPr>
          <w:rFonts w:ascii="微软雅黑" w:hAnsi="微软雅黑" w:eastAsia="微软雅黑"/>
          <w:b w:val="0"/>
          <w:color w:val="666666"/>
          <w:sz w:val="24"/>
        </w:rPr>
        <w:t>(3U CubeSat · 500km SSO 全景成像任务)</w:t>
      </w:r>
    </w:p>
    <w:p/>
    <w:p>
      <w:pPr>
        <w:jc w:val="center"/>
      </w:pPr>
      <w:r>
        <w:rPr>
          <w:rFonts w:ascii="微软雅黑" w:hAnsi="微软雅黑" w:eastAsia="微软雅黑"/>
          <w:b/>
          <w:sz w:val="36"/>
        </w:rPr>
        <w:t>轨道碎片减缓与离轨方案</w:t>
      </w:r>
    </w:p>
    <w:p>
      <w:pPr>
        <w:jc w:val="center"/>
      </w:pPr>
      <w:r>
        <w:rPr>
          <w:rFonts w:ascii="微软雅黑" w:hAnsi="微软雅黑" w:eastAsia="微软雅黑"/>
          <w:b w:val="0"/>
          <w:color w:val="666666"/>
          <w:sz w:val="22"/>
        </w:rPr>
        <w:t>25 年与 5 年规则 · 被动离轨分析 · 登记义务</w:t>
      </w:r>
    </w:p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551"/>
            <w:shd w:val="clear" w:fill="EDF1F8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文档编号</w:t>
            </w:r>
          </w:p>
        </w:tc>
        <w:tc>
          <w:tcPr>
            <w:tcW w:type="dxa" w:w="4819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PANO-3U-DEB-001</w:t>
            </w:r>
          </w:p>
        </w:tc>
      </w:tr>
      <w:tr>
        <w:tc>
          <w:tcPr>
            <w:tcW w:type="dxa" w:w="2551"/>
            <w:shd w:val="clear" w:fill="EDF1F8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版本</w:t>
            </w:r>
          </w:p>
        </w:tc>
        <w:tc>
          <w:tcPr>
            <w:tcW w:type="dxa" w:w="4819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A(ISO 24113 / IADC / FCC)</w:t>
            </w:r>
          </w:p>
        </w:tc>
      </w:tr>
      <w:tr>
        <w:tc>
          <w:tcPr>
            <w:tcW w:type="dxa" w:w="2551"/>
            <w:shd w:val="clear" w:fill="EDF1F8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编制日期</w:t>
            </w:r>
          </w:p>
        </w:tc>
        <w:tc>
          <w:tcPr>
            <w:tcW w:type="dxa" w:w="4819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2026-09</w:t>
            </w:r>
          </w:p>
        </w:tc>
      </w:tr>
      <w:tr>
        <w:tc>
          <w:tcPr>
            <w:tcW w:type="dxa" w:w="2551"/>
            <w:shd w:val="clear" w:fill="EDF1F8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编制 / 审核 / 批准</w:t>
            </w:r>
          </w:p>
        </w:tc>
        <w:tc>
          <w:tcPr>
            <w:tcW w:type="dxa" w:w="4819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 xml:space="preserve">　　　　　 / 　　　　　 / 　　　　　</w:t>
            </w:r>
          </w:p>
        </w:tc>
      </w:tr>
      <w:tr>
        <w:tc>
          <w:tcPr>
            <w:tcW w:type="dxa" w:w="2551"/>
            <w:shd w:val="clear" w:fill="EDF1F8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分发</w:t>
            </w:r>
          </w:p>
        </w:tc>
        <w:tc>
          <w:tcPr>
            <w:tcW w:type="dxa" w:w="4819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制造 / 质量 / 采购 / 试验</w:t>
            </w:r>
          </w:p>
        </w:tc>
      </w:tr>
    </w:tbl>
    <w:p>
      <w:r>
        <w:br w:type="page"/>
      </w:r>
    </w:p>
    <w:p>
      <w:pPr>
        <w:pStyle w:val="Heading1"/>
        <w:spacing w:before="280" w:after="120"/>
      </w:pPr>
      <w:r>
        <w:rPr>
          <w:rFonts w:ascii="微软雅黑" w:hAnsi="微软雅黑" w:eastAsia="微软雅黑"/>
          <w:b/>
          <w:color w:val="1F3864"/>
          <w:sz w:val="30"/>
        </w:rPr>
        <w:t>1　适用规则</w:t>
      </w:r>
    </w:p>
    <w:p>
      <w:pPr>
        <w:ind w:firstLine="420"/>
        <w:jc w:val="both"/>
      </w:pPr>
      <w:r>
        <w:rPr>
          <w:rFonts w:ascii="微软雅黑" w:hAnsi="微软雅黑" w:eastAsia="微软雅黑"/>
          <w:b w:val="0"/>
          <w:color w:val="222222"/>
          <w:sz w:val="21"/>
        </w:rPr>
        <w:t>ISO 24113 与 IADC-02-01:LEO 任务结束后再入 ≤25 年;美国 FCC 2022 新规:牌照于 2024-09 后的 LEO 卫星任务结束 ≤5 年离轨;联合国登记:《登记公约》通过发射国渠道 60 天内登记。PANO-3U 无推进系统,离轨依赖轨道自然衰减与增阻设计。</w:t>
      </w:r>
    </w:p>
    <w:p>
      <w:pPr>
        <w:pStyle w:val="Heading1"/>
        <w:spacing w:before="280" w:after="120"/>
      </w:pPr>
      <w:r>
        <w:rPr>
          <w:rFonts w:ascii="微软雅黑" w:hAnsi="微软雅黑" w:eastAsia="微软雅黑"/>
          <w:b/>
          <w:color w:val="1F3864"/>
          <w:sz w:val="30"/>
        </w:rPr>
        <w:t>2　自然衰减分析(500 km SSO)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137"/>
        <w:gridCol w:w="3137"/>
        <w:gridCol w:w="3137"/>
      </w:tblGrid>
      <w:tr>
        <w:tc>
          <w:tcPr>
            <w:tcW w:type="dxa" w:w="3175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条件</w:t>
            </w:r>
          </w:p>
        </w:tc>
        <w:tc>
          <w:tcPr>
            <w:tcW w:type="dxa" w:w="1587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再入时间</w:t>
            </w:r>
          </w:p>
        </w:tc>
        <w:tc>
          <w:tcPr>
            <w:tcW w:type="dxa" w:w="2608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基线:3U 2.83 kg,面质比≈0.012 m²/kg</w:t>
            </w:r>
          </w:p>
        </w:tc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≈10-12 年</w:t>
            </w:r>
          </w:p>
        </w:tc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太阳活动中等预测</w:t>
            </w:r>
          </w:p>
        </w:tc>
      </w:tr>
      <w:tr>
        <w:tc>
          <w:tcPr>
            <w:tcW w:type="dxa" w:w="3175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太阳活动高年(发射窗口选择)</w:t>
            </w:r>
          </w:p>
        </w:tc>
        <w:tc>
          <w:tcPr>
            <w:tcW w:type="dxa" w:w="1587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≈6-8 年</w:t>
            </w:r>
          </w:p>
        </w:tc>
        <w:tc>
          <w:tcPr>
            <w:tcW w:type="dxa" w:w="2608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大气密度升高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增阻措施(卷尺天线展开增加阻力)</w:t>
            </w:r>
          </w:p>
        </w:tc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贡献 &lt;5%</w:t>
            </w:r>
          </w:p>
        </w:tc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工程可忽略,不作为合规手段</w:t>
            </w:r>
          </w:p>
        </w:tc>
      </w:tr>
    </w:tbl>
    <w:p>
      <w:pPr>
        <w:ind w:firstLine="420"/>
        <w:jc w:val="both"/>
      </w:pPr>
      <w:r>
        <w:rPr>
          <w:rFonts w:ascii="微软雅黑" w:hAnsi="微软雅黑" w:eastAsia="微软雅黑"/>
          <w:b w:val="0"/>
          <w:color w:val="222222"/>
          <w:sz w:val="21"/>
        </w:rPr>
        <w:t>合规策略:①优先选择 ≤500 km 且太阳活动上升期的发射窗口,使自然再入≤25 年(IADC)并尽量逼近 5 年(FCC);②如发射窗口无法满足 FCC 5 年,则在牌照申请中申报豁免理由(无推进、质量小、再入烧毁无残骸风险)或改选达标窗口;③分离后 30 天内确认卫星状态并更新编目数据。</w:t>
      </w:r>
    </w:p>
    <w:p>
      <w:pPr>
        <w:pStyle w:val="Heading1"/>
        <w:spacing w:before="280" w:after="120"/>
      </w:pPr>
      <w:r>
        <w:rPr>
          <w:rFonts w:ascii="微软雅黑" w:hAnsi="微软雅黑" w:eastAsia="微软雅黑"/>
          <w:b/>
          <w:color w:val="1F3864"/>
          <w:sz w:val="30"/>
        </w:rPr>
        <w:t>3　再入风险评估</w:t>
      </w:r>
    </w:p>
    <w:p>
      <w:pPr>
        <w:ind w:firstLine="420"/>
        <w:jc w:val="both"/>
      </w:pPr>
      <w:r>
        <w:rPr>
          <w:rFonts w:ascii="微软雅黑" w:hAnsi="微软雅黑" w:eastAsia="微软雅黑"/>
          <w:b w:val="0"/>
          <w:color w:val="222222"/>
          <w:sz w:val="21"/>
        </w:rPr>
        <w:t>2.83 kg 全铝+小电子件结构,再入气动加热下预期完全烧毁,地面伤亡风险≪1×10⁻⁴,满足 NASA-STD-8719.14 与 ESA 要求的残骸风险限值;无推进剂、无高压容器,无爆裂物;电池随结构烧毁。</w:t>
      </w:r>
    </w:p>
    <w:p>
      <w:pPr>
        <w:pStyle w:val="Heading1"/>
        <w:spacing w:before="280" w:after="120"/>
      </w:pPr>
      <w:r>
        <w:rPr>
          <w:rFonts w:ascii="微软雅黑" w:hAnsi="微软雅黑" w:eastAsia="微软雅黑"/>
          <w:b/>
          <w:color w:val="1F3864"/>
          <w:sz w:val="30"/>
        </w:rPr>
        <w:t>4　登记与合规材料</w:t>
      </w:r>
    </w:p>
    <w:p>
      <w:pPr>
        <w:ind w:firstLine="420"/>
        <w:jc w:val="both"/>
      </w:pPr>
      <w:r>
        <w:rPr>
          <w:rFonts w:ascii="微软雅黑" w:hAnsi="微软雅黑" w:eastAsia="微软雅黑"/>
          <w:b w:val="0"/>
          <w:color w:val="222222"/>
          <w:sz w:val="21"/>
        </w:rPr>
        <w:t>①ITU 频率登记(随牌照国);②发射国 UN 登记信息:名称/国际代号/轨道参数/发射日期;③发射商合规包:本文件+OPS-001 离轨章节+SAF-001;④在轨状态报告(任务终止时)最后更新。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b w:val="0"/>
        <w:color w:val="666666"/>
        <w:sz w:val="16"/>
      </w:rPr>
      <w:t xml:space="preserve">第 </w:t>
    </w:r>
    <w:fldSimple w:instr="PAGE"/>
    <w:r>
      <w:rPr>
        <w:rFonts w:ascii="微软雅黑" w:hAnsi="微软雅黑" w:eastAsia="微软雅黑"/>
        <w:b w:val="0"/>
        <w:color w:val="666666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微软雅黑" w:hAnsi="微软雅黑" w:eastAsia="微软雅黑"/>
        <w:b w:val="0"/>
        <w:color w:val="666666"/>
        <w:sz w:val="16"/>
      </w:rPr>
      <w:t>PANO-3U-DEB-001　轨道碎片减缓与离轨方案　A(ISO 24113 / IADC / FCC)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