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pano-3u-全套仿真数据报告"/>
    <w:p>
      <w:pPr>
        <w:pStyle w:val="Heading1"/>
      </w:pPr>
      <w:r>
        <w:t xml:space="preserve">PANO-3U 全套仿真数据报告</w:t>
      </w:r>
    </w:p>
    <w:p>
      <w:pPr>
        <w:pStyle w:val="FirstParagraph"/>
      </w:pPr>
      <w:r>
        <w:rPr>
          <w:bCs/>
          <w:b/>
        </w:rPr>
        <w:t xml:space="preserve">版本 v1 / 2026-09　|　对应设计：版本 C（图纸 v4）</w:t>
      </w:r>
      <w:r>
        <w:t xml:space="preserve"> </w:t>
      </w:r>
      <w:r>
        <w:rPr>
          <w:bCs/>
          <w:b/>
        </w:rPr>
        <w:t xml:space="preserve">方法说明</w:t>
      </w:r>
      <w:r>
        <w:t xml:space="preserve">：全部仿真为 Python 数值计算（轨道力学/有限元/集总热网络/姿态动力学），输入参数取自版本 C 设计文件；CSV 原始数据与本报告同目录。本报告不替代发射商要求的 ANSYS/NASTRAN 正式 FEA 与热真空试验（见设计评审报告开放项）。</w:t>
      </w:r>
    </w:p>
    <w:p>
      <w:r>
        <w:pict>
          <v:rect style="width:0;height:1.5pt" o:hralign="center" o:hrstd="t" o:hr="t"/>
        </w:pict>
      </w:r>
    </w:p>
    <w:bookmarkStart w:id="20" w:name="s0-质量特性几何重建法"/>
    <w:p>
      <w:pPr>
        <w:pStyle w:val="Heading2"/>
      </w:pPr>
      <w:r>
        <w:t xml:space="preserve">S0　质量特性（几何重建法）</w:t>
      </w:r>
    </w:p>
    <w:p>
      <w:pPr>
        <w:pStyle w:val="FirstParagraph"/>
      </w:pPr>
      <w:r>
        <w:t xml:space="preserve">按零件解析体积 × 6061-T6 密度 + 分系统实重逐项建表（</w:t>
      </w:r>
      <w:r>
        <w:rPr>
          <w:rStyle w:val="VerbatimChar"/>
        </w:rPr>
        <w:t xml:space="preserve">质量特性_分部件表.csv</w:t>
      </w:r>
      <w:r>
        <w:t xml:space="preserve">，25 项）：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干质量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2359 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v4 评审修正项：早期 BOM 估算 1730 g 低估导轨/侧板实重 ~27%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发射质量（+20% 裕量）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2.83 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CDS 3U 上限 4.8 kg，裕量 41%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质心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(0.0, −0.2, 146.7) 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 向低于几何中心 23.6 mm，重力梯度稳定构型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惯量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Ixx=0.0168 / Iyy=0.0173 / Izz=0.00271 kg·m²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含零件自身惯量+平行轴</w:t>
            </w:r>
          </w:p>
        </w:tc>
      </w:tr>
    </w:tbl>
    <w:bookmarkEnd w:id="20"/>
    <w:bookmarkStart w:id="21" w:name="s1-轨道仿真500-km-ssoi97.40t94.5-min"/>
    <w:p>
      <w:pPr>
        <w:pStyle w:val="Heading2"/>
      </w:pPr>
      <w:r>
        <w:t xml:space="preserve">S1　轨道仿真（500 km SSO，i=97.40°，T=94.5 min）</w:t>
      </w:r>
    </w:p>
    <w:p>
      <w:pPr>
        <w:numPr>
          <w:ilvl w:val="0"/>
          <w:numId w:val="1001"/>
        </w:numPr>
        <w:pStyle w:val="Compact"/>
      </w:pPr>
      <w:r>
        <w:t xml:space="preserve">每天 15.2 轨；</w:t>
      </w:r>
      <w:r>
        <w:rPr>
          <w:bCs/>
          <w:b/>
        </w:rPr>
        <w:t xml:space="preserve">最坏日食（β=0）35.7 min/轨（37.8%）</w:t>
      </w:r>
      <w:r>
        <w:t xml:space="preserve">，β≥65° 时日食降至 14.5 min（</w:t>
      </w:r>
      <w:r>
        <w:rPr>
          <w:rStyle w:val="VerbatimChar"/>
        </w:rPr>
        <w:t xml:space="preserve">轨道_日食vs太阳角.csv</w:t>
      </w:r>
      <w:r>
        <w:t xml:space="preserve">，圆柱阴影数值积分）；</w:t>
      </w:r>
    </w:p>
    <w:p>
      <w:pPr>
        <w:numPr>
          <w:ilvl w:val="0"/>
          <w:numId w:val="1001"/>
        </w:numPr>
        <w:pStyle w:val="Compact"/>
      </w:pPr>
      <w:r>
        <w:t xml:space="preserve">北京站（40°N,116°E，仰角门限 10°）7 天过顶</w:t>
      </w:r>
      <w:r>
        <w:t xml:space="preserve"> </w:t>
      </w:r>
      <w:r>
        <w:rPr>
          <w:bCs/>
          <w:b/>
        </w:rPr>
        <w:t xml:space="preserve">20 次（2.9 次/天）</w:t>
      </w:r>
      <w:r>
        <w:t xml:space="preserve">，平均 6.2 min、最大 7.3 min，最大仰角均值 39°（</w:t>
      </w:r>
      <w:r>
        <w:rPr>
          <w:rStyle w:val="VerbatimChar"/>
        </w:rPr>
        <w:t xml:space="preserve">轨道_北京站过顶预报7天.csv</w:t>
      </w:r>
      <w:r>
        <w:t xml:space="preserve">）。</w:t>
      </w:r>
    </w:p>
    <w:bookmarkEnd w:id="21"/>
    <w:bookmarkStart w:id="22" w:name="s2-能源仿真最坏工况-β0eol-衰减-0.90mppt-效率-0.95"/>
    <w:p>
      <w:pPr>
        <w:pStyle w:val="Heading2"/>
      </w:pPr>
      <w:r>
        <w:t xml:space="preserve">S2　能源仿真（最坏工况 β=0、EOL 衰减 0.90、MPPT 效率 0.95）</w:t>
      </w:r>
    </w:p>
    <w:p>
      <w:pPr>
        <w:numPr>
          <w:ilvl w:val="0"/>
          <w:numId w:val="1002"/>
        </w:numPr>
        <w:pStyle w:val="Compact"/>
      </w:pPr>
      <w:r>
        <w:t xml:space="preserve">单轨平均发电 3.41 W，</w:t>
      </w:r>
      <w:r>
        <w:rPr>
          <w:bCs/>
          <w:b/>
        </w:rPr>
        <w:t xml:space="preserve">日发电 81.9 Wh vs 日耗 30 Wh，裕量 2.73×</w:t>
      </w:r>
      <w:r>
        <w:t xml:space="preserve">（β 扫描 0°~60° 均 ≥2.7×）；</w:t>
      </w:r>
    </w:p>
    <w:p>
      <w:pPr>
        <w:numPr>
          <w:ilvl w:val="0"/>
          <w:numId w:val="1002"/>
        </w:numPr>
        <w:pStyle w:val="Compact"/>
      </w:pPr>
      <w:r>
        <w:t xml:space="preserve">7 天时域仿真（每 30 s 步长，含 4 次/天拍摄 + 过顶数传占空）：</w:t>
      </w:r>
      <w:r>
        <w:rPr>
          <w:bCs/>
          <w:b/>
        </w:rPr>
        <w:t xml:space="preserve">电池 SOC 全程 80%~100%，最低 DoD 仅 20%</w:t>
      </w:r>
      <w:r>
        <w:t xml:space="preserve">（允许 80%）→ 能源闭环成立，日食季无风险（</w:t>
      </w:r>
      <w:r>
        <w:rPr>
          <w:rStyle w:val="VerbatimChar"/>
        </w:rPr>
        <w:t xml:space="preserve">能源_SOC时域7天.csv</w:t>
      </w:r>
      <w:r>
        <w:t xml:space="preserve">、曲线 PNG）。</w:t>
      </w:r>
    </w:p>
    <w:bookmarkEnd w:id="22"/>
    <w:bookmarkStart w:id="23" w:name="s3-热仿真六节点集总网络5-s-步长48-h"/>
    <w:p>
      <w:pPr>
        <w:pStyle w:val="Heading2"/>
      </w:pPr>
      <w:r>
        <w:t xml:space="preserve">S3　热仿真（六节点集总网络，5 s 步长，48 h）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工况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内部核心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面板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电池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热工况（全日照+载荷 2 W）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15~20°C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15~19°C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15~20°C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无过热风险 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冷工况（最大日食+SAFE 0.78 W，</w:t>
            </w:r>
            <w:r>
              <w:rPr>
                <w:bCs/>
                <w:b/>
              </w:rPr>
              <w:t xml:space="preserve">原设计裸装+2 W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−24~3°C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−26~3°C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−21~6°C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 低于 0°C 充电禁限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冷工况（</w:t>
            </w:r>
            <w:r>
              <w:rPr>
                <w:bCs/>
                <w:b/>
              </w:rPr>
              <w:t xml:space="preserve">修订：电池 MLI+3 W 加热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−20~8°C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−22~7°C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−12~+8°C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△ 加热占空 79%，日照段恢复充电</w:t>
            </w:r>
          </w:p>
        </w:tc>
      </w:tr>
    </w:tbl>
    <w:p>
      <w:pPr>
        <w:pStyle w:val="BodyText"/>
      </w:pPr>
      <w:r>
        <w:rPr>
          <w:bCs/>
          <w:b/>
        </w:rPr>
        <w:t xml:space="preserve">设计修订（已回写说明书 §5）</w:t>
      </w:r>
      <w:r>
        <w:t xml:space="preserve">：电池包外覆 MLI、加热功率 2 W→3 W、LT3652 NTC 引脚配置 0°C 充电禁止。残余风险：极端冷工况电池短时低于 0°C（不充电、可放电至 −20°C），以热真空试验实测收口（</w:t>
      </w:r>
      <w:r>
        <w:rPr>
          <w:rStyle w:val="VerbatimChar"/>
        </w:rPr>
        <w:t xml:space="preserve">热仿真_节点温度.csv/.png</w:t>
      </w:r>
      <w:r>
        <w:t xml:space="preserve">）。</w:t>
      </w:r>
    </w:p>
    <w:bookmarkEnd w:id="23"/>
    <w:bookmarkStart w:id="24" w:name="s4-结构仿真一维梁有限元24-单元-9-处集中质量悬臂边界"/>
    <w:p>
      <w:pPr>
        <w:pStyle w:val="Heading2"/>
      </w:pPr>
      <w:r>
        <w:t xml:space="preserve">S4　结构仿真（一维梁有限元，24 单元 + 9 处集中质量，悬臂边界）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基频 f1 = 611 Hz</w:t>
      </w:r>
      <w:r>
        <w:t xml:space="preserve">（计入侧板刚度的全截面 I=1.354×10⁶ mm⁴；远高于 100 Hz 门槛；原解析法 388 Hz 偏保守）；</w:t>
      </w:r>
    </w:p>
    <w:p>
      <w:pPr>
        <w:numPr>
          <w:ilvl w:val="0"/>
          <w:numId w:val="1003"/>
        </w:numPr>
        <w:pStyle w:val="Compact"/>
      </w:pPr>
      <w:r>
        <w:t xml:space="preserve">随机振动 GEVS 包络：Miles 响应 39.2 gRMS，3σ=118 g；准静态 10 g 轴向；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裕度表（</w:t>
      </w:r>
      <w:r>
        <w:rPr>
          <w:rStyle w:val="VerbatimChar"/>
          <w:bCs/>
          <w:b/>
        </w:rPr>
        <w:t xml:space="preserve">结构_强度裕度表.csv</w:t>
      </w:r>
      <w:r>
        <w:rPr>
          <w:bCs/>
          <w:b/>
        </w:rPr>
        <w:t xml:space="preserve">）</w:t>
      </w:r>
      <w:r>
        <w:t xml:space="preserve">：导轨压应力 SF=76、屈曲 SF≫100、F2 侧板螺钉剪切 SF=28、电池支架 M3 SF=36、相机支架 M2(F14) SF=52 —— 全部满足。</w:t>
      </w:r>
    </w:p>
    <w:bookmarkEnd w:id="24"/>
    <w:bookmarkStart w:id="25" w:name="s5-adcs-消旋仿真四元数姿态动力学-倾斜-11.5-偶极磁场dt0.5-s"/>
    <w:p>
      <w:pPr>
        <w:pStyle w:val="Heading2"/>
      </w:pPr>
      <w:r>
        <w:t xml:space="preserve">S5　ADCS 消旋仿真（四元数姿态动力学 + 倾斜 11.5° 偶极磁场，dt=0.5 s）</w:t>
      </w:r>
    </w:p>
    <w:p>
      <w:pPr>
        <w:numPr>
          <w:ilvl w:val="0"/>
          <w:numId w:val="1004"/>
        </w:numPr>
        <w:pStyle w:val="Compact"/>
      </w:pPr>
      <w:r>
        <w:t xml:space="preserve">B-dot 控制（m=−K·dB/dt，K=8×10⁵，磁偶极限幅 0.2 A·m²）：初始 10°/s/轴（|ω|=17.3°/s）→</w:t>
      </w:r>
      <w:r>
        <w:t xml:space="preserve"> </w:t>
      </w:r>
      <w:r>
        <w:rPr>
          <w:bCs/>
          <w:b/>
        </w:rPr>
        <w:t xml:space="preserve">2.3 h 降至 ≤2°/s</w:t>
      </w:r>
      <w:r>
        <w:t xml:space="preserve">，24 h 后 0.13°/s；</w:t>
      </w:r>
    </w:p>
    <w:p>
      <w:pPr>
        <w:numPr>
          <w:ilvl w:val="0"/>
          <w:numId w:val="1004"/>
        </w:numPr>
        <w:pStyle w:val="Compact"/>
      </w:pPr>
      <w:r>
        <w:t xml:space="preserve">对全景任务（要求 ≤2°/s）成立，无需反作用轮的结论经动力学验证（</w:t>
      </w:r>
      <w:r>
        <w:rPr>
          <w:rStyle w:val="VerbatimChar"/>
        </w:rPr>
        <w:t xml:space="preserve">ADCS_Bdot消旋.csv/.png</w:t>
      </w:r>
      <w:r>
        <w:t xml:space="preserve">）。</w:t>
      </w:r>
    </w:p>
    <w:bookmarkEnd w:id="25"/>
    <w:bookmarkStart w:id="26" w:name="s6-通信链路仿真437-mhz1-w地面-12-dbi-八木"/>
    <w:p>
      <w:pPr>
        <w:pStyle w:val="Heading2"/>
      </w:pPr>
      <w:r>
        <w:t xml:space="preserve">S6　通信链路仿真（437 MHz，1 W，地面 12 dBi 八木）</w:t>
      </w:r>
    </w:p>
    <w:p>
      <w:pPr>
        <w:numPr>
          <w:ilvl w:val="0"/>
          <w:numId w:val="1005"/>
        </w:numPr>
        <w:pStyle w:val="Compact"/>
      </w:pPr>
      <w:r>
        <w:t xml:space="preserve">典型过顶（60° 最大仰角）：距离 500~909 km，</w:t>
      </w:r>
      <w:r>
        <w:rPr>
          <w:bCs/>
          <w:b/>
        </w:rPr>
        <w:t xml:space="preserve">链路裕量 18.7~23.9 dB</w:t>
      </w:r>
      <w:r>
        <w:rPr>
          <w:bCs/>
          <w:b/>
        </w:rPr>
        <w:t xml:space="preserve"> </w:t>
      </w:r>
      <w:r>
        <w:rPr>
          <w:bCs/>
          <w:b/>
        </w:rPr>
        <w:t xml:space="preserve">@9.6</w:t>
      </w:r>
      <w:r>
        <w:rPr>
          <w:bCs/>
          <w:b/>
        </w:rPr>
        <w:t xml:space="preserve"> </w:t>
      </w:r>
      <w:r>
        <w:rPr>
          <w:bCs/>
          <w:b/>
        </w:rPr>
        <w:t xml:space="preserve">kbps</w:t>
      </w:r>
      <w:r>
        <w:t xml:space="preserve">；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整星级发现——数传瓶颈</w:t>
      </w:r>
      <w:r>
        <w:t xml:space="preserve">：9.6 kbps 日吞吐仅</w:t>
      </w:r>
      <w:r>
        <w:t xml:space="preserve"> </w:t>
      </w:r>
      <w:r>
        <w:rPr>
          <w:bCs/>
          <w:b/>
        </w:rPr>
        <w:t xml:space="preserve">0.76 MB/天</w:t>
      </w:r>
      <w:r>
        <w:t xml:space="preserve">，一张压缩全景照片（~12 MB）需 15 天。仿真核验升速方案：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速率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灵敏度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最低裕量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日吞吐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9.6 kbps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−120 dBm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18.7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遥测够用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57.6 kbps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−112 dBm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10.7 dB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4.6 MB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✓ 推荐默认（35 张快视图/天 或 1 张全图/2.5 天）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115.2 kbps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−109 dBm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7.7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9.2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可选</w:t>
            </w:r>
          </w:p>
        </w:tc>
      </w:tr>
    </w:tbl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4K 视频（375 MB/min）物理上无法经 UHF 下传</w:t>
      </w:r>
      <w:r>
        <w:t xml:space="preserve">：存 512 GB 卡（可存 1365 min），仅下抽帧/快视图；如需视频级数据下传，选装 S 频段发射机（1 Mbps → 85 MB/天，约 +¥2500，列为升级项）。说明书 §1.1 已按此口径修订。</w:t>
      </w:r>
    </w:p>
    <w:bookmarkEnd w:id="26"/>
    <w:bookmarkStart w:id="27" w:name="s7-光学仿真"/>
    <w:p>
      <w:pPr>
        <w:pStyle w:val="Heading2"/>
      </w:pPr>
      <w:r>
        <w:t xml:space="preserve">S7　光学仿真</w:t>
      </w:r>
    </w:p>
    <w:p>
      <w:pPr>
        <w:numPr>
          <w:ilvl w:val="0"/>
          <w:numId w:val="1007"/>
        </w:numPr>
        <w:pStyle w:val="Compact"/>
      </w:pPr>
      <w:r>
        <w:t xml:space="preserve">等距投影角分辨率</w:t>
      </w:r>
      <w:r>
        <w:t xml:space="preserve"> </w:t>
      </w:r>
      <w:r>
        <w:rPr>
          <w:bCs/>
          <w:b/>
        </w:rPr>
        <w:t xml:space="preserve">15.8 px/°（全视场恒定）</w:t>
      </w:r>
      <w:r>
        <w:t xml:space="preserve">，equirectangular 输出 5760×2880 = 16.0 px/° ✓ 匹配；</w:t>
      </w:r>
    </w:p>
    <w:p>
      <w:pPr>
        <w:numPr>
          <w:ilvl w:val="0"/>
          <w:numId w:val="1007"/>
        </w:numPr>
        <w:pStyle w:val="Compact"/>
      </w:pPr>
      <w:r>
        <w:t xml:space="preserve">拼接重叠环带 82.5°~97.5°，占全球面 13%（≥8° 匹配下限的 1.9 倍）✓；</w:t>
      </w:r>
    </w:p>
    <w:p>
      <w:pPr>
        <w:numPr>
          <w:ilvl w:val="0"/>
          <w:numId w:val="1007"/>
        </w:numPr>
        <w:pStyle w:val="Compact"/>
      </w:pPr>
      <w:r>
        <w:t xml:space="preserve">对地观测 GSD：星下点 0.55 km/px，60° 离轴 2.21 km/px（广角对地为辅助功能，非精细对地遥感）。</w:t>
      </w:r>
    </w:p>
    <w:p>
      <w:r>
        <w:pict>
          <v:rect style="width:0;height:1.5pt" o:hralign="center" o:hrstd="t" o:hr="t"/>
        </w:pict>
      </w:r>
    </w:p>
    <w:bookmarkEnd w:id="27"/>
    <w:bookmarkStart w:id="28" w:name="汇总判定"/>
    <w:p>
      <w:pPr>
        <w:pStyle w:val="Heading2"/>
      </w:pPr>
      <w:r>
        <w:t xml:space="preserve">汇总判定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仿真项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质量/包络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2.83 kg / CDS 合规（v4 修正）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轨道/过顶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2.9 次/天过顶支撑运维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能源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最坏工况裕量 2.73×，SOC≥80%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△ 修订后满足（MLI+3W+NTC，TVAC 收口）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结构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f1=611 Hz，全部 SF≥28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2.3 h 消旋达标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链路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△ 升速 57.6 kbps 后满足运营；视频下传需 S 频段升级项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光学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指标闭环</w:t>
            </w:r>
          </w:p>
        </w:tc>
      </w:tr>
    </w:tbl>
    <w:p>
      <w:pPr>
        <w:pStyle w:val="BodyText"/>
      </w:pPr>
      <w:r>
        <w:rPr>
          <w:bCs/>
          <w:b/>
        </w:rPr>
        <w:t xml:space="preserve">仿真口径免责声明</w:t>
      </w:r>
      <w:r>
        <w:t xml:space="preserve">：轨道为二体+J2 模型；磁场为倾斜偶极子；热为 6 节点集总；结构为一维梁 FE。以上用于方案级验证与设计定值，正样阶段须以高保真工具（STK/IGRF/ESATAN/ANSYS）复核。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2026-09-03T14:54:02Z</dcterms:created>
  <dcterms:modified xsi:type="dcterms:W3CDTF">2026-09-03T14:54:02Z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