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D79D8D">
      <w:pPr>
        <w:jc w:val="center"/>
        <w:rPr>
          <w:rFonts w:hint="eastAsia" w:ascii="微软雅黑" w:hAnsi="微软雅黑" w:eastAsia="微软雅黑" w:cs="微软雅黑"/>
          <w:b/>
          <w:i w:val="0"/>
          <w:color w:val="000000"/>
          <w:sz w:val="36"/>
          <w:u w:val="none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olor w:val="000000"/>
          <w:sz w:val="36"/>
          <w:u w:val="none"/>
          <w:lang w:eastAsia="zh-CN"/>
        </w:rPr>
        <w:t>AI 应用的发展与落地：从能力到价值闭环</w:t>
      </w:r>
    </w:p>
    <w:p w14:paraId="49DCA8DE">
      <w:pPr>
        <w:jc w:val="center"/>
        <w:rPr>
          <w:rFonts w:hint="default" w:ascii="微软雅黑" w:hAnsi="微软雅黑" w:eastAsia="微软雅黑" w:cs="微软雅黑"/>
          <w:b w:val="0"/>
          <w:i w:val="0"/>
          <w:color w:val="C0C0C0"/>
          <w:sz w:val="22"/>
          <w:u w:val="none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t xml:space="preserve">调研纪要 / </w:t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val="en-US" w:eastAsia="zh-CN"/>
        </w:rPr>
        <w:t>sever</w:t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t>测试样例</w:t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val="en-US" w:eastAsia="zh-CN"/>
        </w:rPr>
        <w:t>2</w:t>
      </w:r>
      <w:bookmarkStart w:id="0" w:name="_GoBack"/>
      <w:bookmarkEnd w:id="0"/>
    </w:p>
    <w:p w14:paraId="38ACF128">
      <w:pPr>
        <w:jc w:val="center"/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t>生成时间：2024-01-01 00:00:00</w:t>
      </w:r>
    </w:p>
    <w:p w14:paraId="22EECB03">
      <w:pPr>
        <w:jc w:val="center"/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</w:pPr>
    </w:p>
    <w:p w14:paraId="21DA57FD">
      <w:pPr>
        <w:spacing w:after="160" w:line="360" w:lineRule="auto"/>
        <w:jc w:val="left"/>
        <w:rPr>
          <w:rFonts w:hint="eastAsia" w:ascii="微软雅黑" w:hAnsi="微软雅黑" w:eastAsia="微软雅黑" w:cs="微软雅黑"/>
          <w:b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olor w:val="000000"/>
          <w:sz w:val="22"/>
          <w:u w:val="none"/>
          <w:lang w:eastAsia="zh-CN"/>
        </w:rPr>
        <w:t>摘要</w:t>
      </w:r>
    </w:p>
    <w:p w14:paraId="3CE49F52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AI 应用正从“单点助手”走向“流程自动化 + 业务闭环”。落地优先级应围绕高频流程、数据可得、风险可控与指标可量化来排序。</w:t>
      </w:r>
    </w:p>
    <w:p w14:paraId="54C2B5F6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本文档为样例内容：用于测试流式写入时对段落、列表、表格、超链接、页眉页脚等样式要素的还原。</w:t>
      </w:r>
    </w:p>
    <w:p w14:paraId="7F4005DB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</w:p>
    <w:p w14:paraId="68B7B465">
      <w:pPr>
        <w:spacing w:after="160" w:line="360" w:lineRule="auto"/>
        <w:jc w:val="left"/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lang w:eastAsia="zh-CN"/>
        </w:rPr>
        <w:t>1  发展趋势与落地要点</w:t>
      </w:r>
    </w:p>
    <w:p w14:paraId="6519D776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从产品形态看，落地会经历三个阶段：</w:t>
      </w:r>
    </w:p>
    <w:p w14:paraId="1B8CDED5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信息增强：检索、摘要、改写、结构化输出。</w:t>
      </w:r>
    </w:p>
    <w:p w14:paraId="168F47F0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任务协作：在工单、文档、审批等流程中协助执行。</w:t>
      </w:r>
    </w:p>
    <w:p w14:paraId="7D09196E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流程闭环：引入评估、权限、审计与运营机制，实现持续优化。</w:t>
      </w:r>
    </w:p>
    <w:p w14:paraId="132009F0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</w:p>
    <w:p w14:paraId="5D8D0AB0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落地方法建议：</w:t>
      </w:r>
    </w:p>
    <w:p w14:paraId="47992EAC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选择高频流程：明确输入、输出与验收标准。</w:t>
      </w:r>
    </w:p>
    <w:p w14:paraId="0DC7F453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建立数据与权限：保证可用性与合规性。</w:t>
      </w:r>
    </w:p>
    <w:p w14:paraId="75C0298E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设置评估指标：上线前后都能量化效果。</w:t>
      </w:r>
    </w:p>
    <w:p w14:paraId="119F3D90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</w:p>
    <w:p w14:paraId="3189B87A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</w:p>
    <w:p w14:paraId="54B12D0C">
      <w:pPr>
        <w:spacing w:after="160" w:line="360" w:lineRule="auto"/>
        <w:jc w:val="left"/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lang w:eastAsia="zh-CN"/>
        </w:rPr>
      </w:pPr>
      <w:r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lang w:eastAsia="zh-CN"/>
        </w:rPr>
        <w:t>2  典型落地场景（示例）</w:t>
      </w:r>
    </w:p>
    <w:p w14:paraId="25C2F459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以下场景适合以“可控 + 可衡量”为优先目标：</w:t>
      </w:r>
    </w:p>
    <w:p w14:paraId="6EEE0450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知识检索与总结：面向内部知识库，强调引用与溯源。</w:t>
      </w:r>
    </w:p>
    <w:p w14:paraId="56EBB18F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客服质检与复盘：从对话中抽取要点，输出结构化结论。</w:t>
      </w:r>
    </w:p>
    <w:p w14:paraId="3B7B87F5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  <w:t>工单填单与分派：基于规则与历史数据降低重复劳动。</w:t>
      </w:r>
    </w:p>
    <w:p w14:paraId="4E8A859A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lang w:eastAsia="zh-CN"/>
        </w:rPr>
      </w:pPr>
    </w:p>
    <w:p w14:paraId="4995D930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t>参考链接：</w:t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fldChar w:fldCharType="begin"/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instrText xml:space="preserve"> HYPERLINK "https://open.wps.cn" </w:instrText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fldChar w:fldCharType="separate"/>
      </w:r>
      <w:r>
        <w:rPr>
          <w:rStyle w:val="6"/>
          <w:rFonts w:hint="eastAsia" w:ascii="微软雅黑" w:hAnsi="微软雅黑" w:eastAsia="微软雅黑" w:cs="微软雅黑"/>
          <w:b w:val="0"/>
          <w:i w:val="0"/>
          <w:sz w:val="22"/>
          <w:lang w:eastAsia="zh-CN"/>
        </w:rPr>
        <w:t>WPS 开放平台</w:t>
      </w:r>
      <w:r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  <w:fldChar w:fldCharType="end"/>
      </w:r>
    </w:p>
    <w:p w14:paraId="120C5D0B">
      <w:pPr>
        <w:spacing w:after="160" w:line="360" w:lineRule="auto"/>
        <w:jc w:val="left"/>
        <w:rPr>
          <w:rFonts w:hint="eastAsia" w:ascii="Consolas" w:hAnsi="Consolas" w:eastAsia="Consolas" w:cs="Consolas"/>
          <w:b w:val="0"/>
          <w:i w:val="0"/>
          <w:color w:val="C0C0C0"/>
          <w:sz w:val="20"/>
          <w:u w:val="none"/>
          <w:lang w:eastAsia="zh-CN"/>
        </w:rPr>
      </w:pPr>
      <w:r>
        <w:rPr>
          <w:rFonts w:hint="eastAsia" w:ascii="Consolas" w:hAnsi="Consolas" w:eastAsia="Consolas" w:cs="Consolas"/>
          <w:b w:val="0"/>
          <w:i w:val="0"/>
          <w:color w:val="C0C0C0"/>
          <w:sz w:val="20"/>
          <w:u w:val="none"/>
          <w:lang w:eastAsia="zh-CN"/>
        </w:rPr>
        <w:t>示例接口：POST /v1/chat/completions</w:t>
      </w:r>
    </w:p>
    <w:p w14:paraId="392B7DF0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C0C0C0"/>
          <w:sz w:val="22"/>
          <w:u w:val="none"/>
          <w:lang w:eastAsia="zh-CN"/>
        </w:rPr>
      </w:pPr>
    </w:p>
    <w:p w14:paraId="32E1F75F">
      <w:pPr>
        <w:spacing w:after="160" w:line="360" w:lineRule="auto"/>
        <w:jc w:val="left"/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vertAlign w:val="baseli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C0C0C0"/>
          <w:sz w:val="20"/>
          <w:u w:val="none"/>
          <w:vertAlign w:val="baseline"/>
          <w:lang w:eastAsia="zh-CN"/>
        </w:rPr>
        <w:br w:type="page"/>
      </w:r>
      <w:r>
        <w:rPr>
          <w:rFonts w:hint="eastAsia" w:ascii="微软雅黑" w:hAnsi="微软雅黑" w:eastAsia="微软雅黑" w:cs="微软雅黑"/>
          <w:b/>
          <w:i w:val="0"/>
          <w:color w:val="000000"/>
          <w:sz w:val="26"/>
          <w:u w:val="none"/>
          <w:vertAlign w:val="baseline"/>
          <w:lang w:eastAsia="zh-CN"/>
        </w:rPr>
        <w:t>3  指标与风险清单（示例）</w:t>
      </w:r>
    </w:p>
    <w:p w14:paraId="0033F137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vertAlign w:val="baseline"/>
          <w:lang w:eastAsia="zh-CN"/>
        </w:rPr>
      </w:pPr>
      <w:r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vertAlign w:val="baseline"/>
          <w:lang w:eastAsia="zh-CN"/>
        </w:rPr>
        <w:t>表格用于测试：合并单元格、底纹、边框、字体一致性。</w:t>
      </w:r>
    </w:p>
    <w:p w14:paraId="529C279A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vertAlign w:val="baseline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0"/>
        <w:gridCol w:w="2310"/>
        <w:gridCol w:w="2311"/>
        <w:gridCol w:w="2311"/>
      </w:tblGrid>
      <w:tr w14:paraId="490F49EF">
        <w:tc>
          <w:tcPr>
            <w:tcW w:w="9242" w:type="dxa"/>
            <w:gridSpan w:val="4"/>
            <w:shd w:val="clear" w:color="auto" w:fill="808080"/>
          </w:tcPr>
          <w:p w14:paraId="7CF56BC7">
            <w:pPr>
              <w:spacing w:after="160" w:line="360" w:lineRule="auto"/>
              <w:jc w:val="center"/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2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2"/>
                <w:u w:val="none"/>
                <w:vertAlign w:val="baseline"/>
                <w:lang w:eastAsia="zh-CN"/>
              </w:rPr>
              <w:t>AI 应用落地评估表（示例）</w:t>
            </w:r>
          </w:p>
        </w:tc>
      </w:tr>
      <w:tr w14:paraId="08AAA076">
        <w:tc>
          <w:tcPr>
            <w:tcW w:w="2310" w:type="dxa"/>
            <w:shd w:val="clear" w:color="auto" w:fill="808080"/>
          </w:tcPr>
          <w:p w14:paraId="18A4996B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场景</w:t>
            </w:r>
          </w:p>
        </w:tc>
        <w:tc>
          <w:tcPr>
            <w:tcW w:w="2310" w:type="dxa"/>
            <w:shd w:val="clear" w:color="auto" w:fill="808080"/>
          </w:tcPr>
          <w:p w14:paraId="577D6D8A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价值指标</w:t>
            </w:r>
          </w:p>
        </w:tc>
        <w:tc>
          <w:tcPr>
            <w:tcW w:w="2311" w:type="dxa"/>
            <w:shd w:val="clear" w:color="auto" w:fill="808080"/>
          </w:tcPr>
          <w:p w14:paraId="6AB078BB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数据/系统依赖</w:t>
            </w:r>
          </w:p>
        </w:tc>
        <w:tc>
          <w:tcPr>
            <w:tcW w:w="2311" w:type="dxa"/>
            <w:shd w:val="clear" w:color="auto" w:fill="808080"/>
          </w:tcPr>
          <w:p w14:paraId="0C143B3C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风险与兜底</w:t>
            </w:r>
          </w:p>
        </w:tc>
      </w:tr>
      <w:tr w14:paraId="200F1CBE">
        <w:tc>
          <w:tcPr>
            <w:tcW w:w="2310" w:type="dxa"/>
          </w:tcPr>
          <w:p w14:paraId="238B3B6F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知识检索 + 摘要生成</w:t>
            </w:r>
          </w:p>
        </w:tc>
        <w:tc>
          <w:tcPr>
            <w:tcW w:w="2310" w:type="dxa"/>
          </w:tcPr>
          <w:p w14:paraId="03A2087A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采纳率、节省工时、满意度</w:t>
            </w:r>
          </w:p>
        </w:tc>
        <w:tc>
          <w:tcPr>
            <w:tcW w:w="2311" w:type="dxa"/>
          </w:tcPr>
          <w:p w14:paraId="3E5CBB34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知识库、权限、检索链路</w:t>
            </w:r>
          </w:p>
        </w:tc>
        <w:tc>
          <w:tcPr>
            <w:tcW w:w="2311" w:type="dxa"/>
          </w:tcPr>
          <w:p w14:paraId="6E0C698E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引用来源、低置信度提示、人工复核</w:t>
            </w:r>
          </w:p>
        </w:tc>
      </w:tr>
      <w:tr w14:paraId="49AAE6EC">
        <w:tc>
          <w:tcPr>
            <w:tcW w:w="2310" w:type="dxa"/>
          </w:tcPr>
          <w:p w14:paraId="01B2E9DF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工单自动分派/填单</w:t>
            </w:r>
          </w:p>
        </w:tc>
        <w:tc>
          <w:tcPr>
            <w:tcW w:w="2310" w:type="dxa"/>
          </w:tcPr>
          <w:p w14:paraId="1D89F12E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一次解决率、时延、转人工率</w:t>
            </w:r>
          </w:p>
        </w:tc>
        <w:tc>
          <w:tcPr>
            <w:tcW w:w="2311" w:type="dxa"/>
          </w:tcPr>
          <w:p w14:paraId="01CFDCBD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工单系统、字段校验、流程规则</w:t>
            </w:r>
          </w:p>
        </w:tc>
        <w:tc>
          <w:tcPr>
            <w:tcW w:w="2311" w:type="dxa"/>
          </w:tcPr>
          <w:p w14:paraId="67A92088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000000"/>
                <w:sz w:val="20"/>
                <w:u w:val="none"/>
                <w:vertAlign w:val="baseline"/>
                <w:lang w:eastAsia="zh-CN"/>
              </w:rPr>
              <w:t>规则兜底、审计、敏感信息脱敏</w:t>
            </w:r>
          </w:p>
        </w:tc>
      </w:tr>
    </w:tbl>
    <w:p w14:paraId="569D1313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00"/>
          <w:sz w:val="22"/>
          <w:u w:val="none"/>
          <w:vertAlign w:val="baseline"/>
          <w:lang w:eastAsia="zh-C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42"/>
      </w:tblGrid>
      <w:tr w14:paraId="6DA86629">
        <w:tc>
          <w:tcPr>
            <w:tcW w:w="9242" w:type="dxa"/>
            <w:shd w:val="clear" w:color="auto" w:fill="808080"/>
          </w:tcPr>
          <w:p w14:paraId="311B8001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C0C0C0"/>
                <w:sz w:val="20"/>
                <w:u w:val="none"/>
                <w:vertAlign w:val="baseline"/>
                <w:lang w:eastAsia="zh-CN"/>
              </w:rPr>
            </w:pPr>
          </w:p>
          <w:p w14:paraId="6E9398C2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C0C0C0"/>
                <w:sz w:val="22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C0C0C0"/>
                <w:sz w:val="22"/>
                <w:u w:val="none"/>
                <w:vertAlign w:val="baseline"/>
                <w:lang w:eastAsia="zh-CN"/>
              </w:rPr>
              <w:t>— 以下为第二页内容 —</w:t>
            </w:r>
          </w:p>
          <w:p w14:paraId="70D8F41B">
            <w:pPr>
              <w:spacing w:after="160" w:line="360" w:lineRule="auto"/>
              <w:jc w:val="left"/>
              <w:rPr>
                <w:rFonts w:hint="eastAsia" w:ascii="微软雅黑" w:hAnsi="微软雅黑" w:eastAsia="微软雅黑" w:cs="微软雅黑"/>
                <w:b w:val="0"/>
                <w:i w:val="0"/>
                <w:color w:val="C0C0C0"/>
                <w:sz w:val="22"/>
                <w:u w:val="none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color w:val="C0C0C0"/>
                <w:sz w:val="20"/>
                <w:u w:val="none"/>
                <w:vertAlign w:val="baseline"/>
                <w:lang w:eastAsia="zh-CN"/>
              </w:rPr>
              <w:t>提示：优先选择“可控性强、指标可量化、可快速闭环”的业务流程作为首批落地场景。</w:t>
            </w:r>
          </w:p>
        </w:tc>
      </w:tr>
    </w:tbl>
    <w:p w14:paraId="737ECD4D">
      <w:pPr>
        <w:spacing w:after="160" w:line="360" w:lineRule="auto"/>
        <w:jc w:val="left"/>
        <w:rPr>
          <w:rFonts w:hint="eastAsia" w:ascii="微软雅黑" w:hAnsi="微软雅黑" w:eastAsia="微软雅黑" w:cs="微软雅黑"/>
          <w:b w:val="0"/>
          <w:i w:val="0"/>
          <w:color w:val="0000FF"/>
          <w:sz w:val="22"/>
          <w:u w:val="none"/>
          <w:lang w:eastAsia="zh-CN"/>
        </w:rPr>
      </w:pPr>
    </w:p>
    <w:sectPr>
      <w:head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46A621">
    <w:pPr>
      <w:jc w:val="right"/>
    </w:pPr>
    <w:r>
      <w:rPr>
        <w:rFonts w:ascii="微软雅黑" w:hAnsi="微软雅黑" w:eastAsia="微软雅黑" w:cs="微软雅黑"/>
        <w:b w:val="0"/>
        <w:bCs w:val="0"/>
        <w:i w:val="0"/>
        <w:iCs w:val="0"/>
        <w:color w:val="808080"/>
        <w:sz w:val="20"/>
        <w:szCs w:val="20"/>
      </w:rPr>
      <w:t>AI 应用发展与落地｜内部参考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F9F575A"/>
    <w:rsid w:val="55EE28B0"/>
    <w:rsid w:val="69FBE83A"/>
    <w:rsid w:val="EF9F5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Hyperlink"/>
    <w:basedOn w:val="5"/>
    <w:uiPriority w:val="0"/>
    <w:rPr>
      <w:color w:val="0000FF"/>
      <w:u w:val="single"/>
    </w:rPr>
  </w:style>
  <w:style w:type="paragraph" w:styleId="7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2026-01-17T06:12:00Z</dcterms:created>
  <dc:creator>对方正在输入</dc:creator>
  <cp:lastModifiedBy>对方正在输入</cp:lastModifiedBy>
  <dcterms:modified xsi:type="dcterms:W3CDTF">2026-01-16T17:18:28Z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2052-12.1.24703.24703</vt:lpwstr>
  </property>
  <property fmtid="{D5CDD505-2E9C-101B-9397-08002B2CF9AE}" pid="3" name="ICV">
    <vt:lpwstr>5DC402FA9636CA39CFD6696940CF702B_41</vt:lpwstr>
  </property>
</Properties>
</file>