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32BA71">
      <w:pPr>
        <w:spacing w:after="160" w:line="360" w:lineRule="auto"/>
        <w:jc w:val="center"/>
        <w:rPr>
          <w:rFonts w:hint="eastAsia" w:ascii="微软雅黑" w:hAnsi="微软雅黑" w:eastAsia="微软雅黑" w:cs="微软雅黑"/>
          <w:b/>
          <w:i w:val="0"/>
          <w:color w:val="000000"/>
          <w:sz w:val="36"/>
          <w:u w:val="none"/>
          <w:lang w:eastAsia="zh-CN"/>
        </w:rPr>
      </w:pPr>
      <w:r>
        <w:rPr>
          <w:rFonts w:hint="eastAsia" w:ascii="微软雅黑" w:hAnsi="微软雅黑" w:eastAsia="微软雅黑" w:cs="微软雅黑"/>
          <w:b/>
          <w:i w:val="0"/>
          <w:color w:val="000000"/>
          <w:sz w:val="36"/>
          <w:u w:val="none"/>
          <w:lang w:eastAsia="zh-CN"/>
        </w:rPr>
        <w:t>AI 应用的发展与落地：从能力到价值闭环</w:t>
      </w:r>
    </w:p>
    <w:p w14:paraId="07DD3791">
      <w:pPr>
        <w:spacing w:after="160" w:line="360" w:lineRule="auto"/>
        <w:jc w:val="center"/>
        <w:rPr>
          <w:rFonts w:hint="eastAsia" w:ascii="微软雅黑" w:hAnsi="微软雅黑" w:eastAsia="微软雅黑" w:cs="微软雅黑"/>
          <w:b w:val="0"/>
          <w:i w:val="0"/>
          <w:color w:val="C0C0C0"/>
          <w:sz w:val="22"/>
          <w:u w:val="none"/>
          <w:lang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olor w:val="C0C0C0"/>
          <w:sz w:val="22"/>
          <w:u w:val="none"/>
          <w:lang w:eastAsia="zh-CN"/>
        </w:rPr>
        <w:t xml:space="preserve">调研纪要 / </w:t>
      </w:r>
      <w:r>
        <w:rPr>
          <w:rFonts w:hint="eastAsia" w:ascii="微软雅黑" w:hAnsi="微软雅黑" w:eastAsia="微软雅黑" w:cs="微软雅黑"/>
          <w:b w:val="0"/>
          <w:i w:val="0"/>
          <w:color w:val="C0C0C0"/>
          <w:sz w:val="22"/>
          <w:u w:val="none"/>
          <w:lang w:val="en-US" w:eastAsia="zh-CN"/>
        </w:rPr>
        <w:t>serve</w:t>
      </w:r>
      <w:r>
        <w:rPr>
          <w:rFonts w:hint="eastAsia" w:ascii="微软雅黑" w:hAnsi="微软雅黑" w:eastAsia="微软雅黑" w:cs="微软雅黑"/>
          <w:b w:val="0"/>
          <w:i w:val="0"/>
          <w:color w:val="C0C0C0"/>
          <w:sz w:val="22"/>
          <w:u w:val="none"/>
          <w:lang w:eastAsia="zh-CN"/>
        </w:rPr>
        <w:t>测试样例</w:t>
      </w:r>
    </w:p>
    <w:p w14:paraId="337C1430">
      <w:pPr>
        <w:spacing w:after="160" w:line="360" w:lineRule="auto"/>
        <w:jc w:val="center"/>
        <w:rPr>
          <w:rFonts w:hint="eastAsia" w:ascii="微软雅黑" w:hAnsi="微软雅黑" w:eastAsia="微软雅黑" w:cs="微软雅黑"/>
          <w:b w:val="0"/>
          <w:i w:val="0"/>
          <w:color w:val="C0C0C0"/>
          <w:sz w:val="22"/>
          <w:u w:val="none"/>
          <w:lang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olor w:val="C0C0C0"/>
          <w:sz w:val="22"/>
          <w:u w:val="none"/>
          <w:lang w:eastAsia="zh-CN"/>
        </w:rPr>
        <w:t>生成时间：2024-01-01 00:00:00</w:t>
      </w:r>
    </w:p>
    <w:p w14:paraId="2A0248D3">
      <w:pPr>
        <w:spacing w:after="160" w:line="360" w:lineRule="auto"/>
        <w:jc w:val="center"/>
        <w:rPr>
          <w:rFonts w:hint="eastAsia" w:ascii="微软雅黑" w:hAnsi="微软雅黑" w:eastAsia="微软雅黑" w:cs="微软雅黑"/>
          <w:b w:val="0"/>
          <w:i w:val="0"/>
          <w:color w:val="C0C0C0"/>
          <w:sz w:val="22"/>
          <w:u w:val="none"/>
          <w:lang w:eastAsia="zh-CN"/>
        </w:rPr>
      </w:pPr>
    </w:p>
    <w:p w14:paraId="5A9319E6">
      <w:pPr>
        <w:spacing w:after="160" w:line="360" w:lineRule="auto"/>
        <w:jc w:val="left"/>
        <w:rPr>
          <w:rFonts w:hint="eastAsia" w:ascii="微软雅黑" w:hAnsi="微软雅黑" w:eastAsia="微软雅黑" w:cs="微软雅黑"/>
          <w:b/>
          <w:i w:val="0"/>
          <w:color w:val="000000"/>
          <w:sz w:val="22"/>
          <w:u w:val="none"/>
          <w:lang w:eastAsia="zh-CN"/>
        </w:rPr>
      </w:pPr>
      <w:r>
        <w:rPr>
          <w:rFonts w:hint="eastAsia" w:ascii="微软雅黑" w:hAnsi="微软雅黑" w:eastAsia="微软雅黑" w:cs="微软雅黑"/>
          <w:b/>
          <w:i w:val="0"/>
          <w:color w:val="000000"/>
          <w:sz w:val="22"/>
          <w:u w:val="none"/>
          <w:lang w:eastAsia="zh-CN"/>
        </w:rPr>
        <w:t>摘要</w:t>
      </w:r>
    </w:p>
    <w:p w14:paraId="10E44B78">
      <w:pPr>
        <w:spacing w:after="160" w:line="360" w:lineRule="auto"/>
        <w:jc w:val="left"/>
        <w:rPr>
          <w:rFonts w:hint="eastAsia" w:ascii="微软雅黑" w:hAnsi="微软雅黑" w:eastAsia="微软雅黑" w:cs="微软雅黑"/>
          <w:b w:val="0"/>
          <w:i w:val="0"/>
          <w:color w:val="000000"/>
          <w:sz w:val="22"/>
          <w:u w:val="none"/>
          <w:lang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  <w:u w:val="none"/>
          <w:lang w:eastAsia="zh-CN"/>
        </w:rPr>
        <w:t>AI 应用正从“单点助手”走向“流程自动化 + 业务闭环”。落地优先级应围绕高频流程、数据可得、风险可控与指标可量化来排序。</w:t>
      </w:r>
    </w:p>
    <w:p w14:paraId="6900AAC0">
      <w:pPr>
        <w:spacing w:after="160" w:line="360" w:lineRule="auto"/>
        <w:jc w:val="left"/>
        <w:rPr>
          <w:rFonts w:hint="eastAsia" w:ascii="微软雅黑" w:hAnsi="微软雅黑" w:eastAsia="微软雅黑" w:cs="微软雅黑"/>
          <w:b w:val="0"/>
          <w:i w:val="0"/>
          <w:color w:val="000000"/>
          <w:sz w:val="22"/>
          <w:u w:val="none"/>
          <w:lang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  <w:u w:val="none"/>
          <w:lang w:eastAsia="zh-CN"/>
        </w:rPr>
        <w:t>本文档为样例内容：用于测试流式写入时对段落、列表、表格、超链接、页眉页脚等样式要素的还原。</w:t>
      </w:r>
    </w:p>
    <w:p w14:paraId="184D03A1">
      <w:pPr>
        <w:spacing w:after="160" w:line="360" w:lineRule="auto"/>
        <w:jc w:val="left"/>
        <w:rPr>
          <w:rFonts w:hint="eastAsia" w:ascii="微软雅黑" w:hAnsi="微软雅黑" w:eastAsia="微软雅黑" w:cs="微软雅黑"/>
          <w:b w:val="0"/>
          <w:i w:val="0"/>
          <w:color w:val="000000"/>
          <w:sz w:val="22"/>
          <w:u w:val="none"/>
          <w:lang w:eastAsia="zh-CN"/>
        </w:rPr>
      </w:pPr>
    </w:p>
    <w:p w14:paraId="77E0C3DA">
      <w:pPr>
        <w:spacing w:after="160" w:line="360" w:lineRule="auto"/>
        <w:jc w:val="left"/>
        <w:rPr>
          <w:rFonts w:hint="eastAsia" w:ascii="微软雅黑" w:hAnsi="微软雅黑" w:eastAsia="微软雅黑" w:cs="微软雅黑"/>
          <w:b/>
          <w:i w:val="0"/>
          <w:color w:val="000000"/>
          <w:sz w:val="26"/>
          <w:u w:val="none"/>
          <w:lang w:eastAsia="zh-CN"/>
        </w:rPr>
      </w:pPr>
      <w:r>
        <w:rPr>
          <w:rFonts w:hint="eastAsia" w:ascii="微软雅黑" w:hAnsi="微软雅黑" w:eastAsia="微软雅黑" w:cs="微软雅黑"/>
          <w:b/>
          <w:i w:val="0"/>
          <w:color w:val="000000"/>
          <w:sz w:val="26"/>
          <w:u w:val="none"/>
          <w:lang w:eastAsia="zh-CN"/>
        </w:rPr>
        <w:t>1  发展趋势与落地要点</w:t>
      </w:r>
    </w:p>
    <w:p w14:paraId="0790714C">
      <w:pPr>
        <w:spacing w:after="160" w:line="360" w:lineRule="auto"/>
        <w:jc w:val="left"/>
        <w:rPr>
          <w:rFonts w:hint="eastAsia" w:ascii="微软雅黑" w:hAnsi="微软雅黑" w:eastAsia="微软雅黑" w:cs="微软雅黑"/>
          <w:b w:val="0"/>
          <w:i w:val="0"/>
          <w:color w:val="000000"/>
          <w:sz w:val="22"/>
          <w:u w:val="none"/>
          <w:lang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  <w:u w:val="none"/>
          <w:lang w:eastAsia="zh-CN"/>
        </w:rPr>
        <w:t>从产品形态看，落地会经历三个阶段：</w:t>
      </w:r>
    </w:p>
    <w:p w14:paraId="440AAC30">
      <w:pPr>
        <w:spacing w:after="160" w:line="360" w:lineRule="auto"/>
        <w:jc w:val="left"/>
        <w:rPr>
          <w:rFonts w:hint="eastAsia" w:ascii="微软雅黑" w:hAnsi="微软雅黑" w:eastAsia="微软雅黑" w:cs="微软雅黑"/>
          <w:b w:val="0"/>
          <w:i w:val="0"/>
          <w:color w:val="000000"/>
          <w:sz w:val="22"/>
          <w:u w:val="none"/>
          <w:lang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  <w:u w:val="none"/>
          <w:lang w:eastAsia="zh-CN"/>
        </w:rPr>
        <w:t>信息增强：检索、摘要、改写、结构化输出。</w:t>
      </w:r>
    </w:p>
    <w:p w14:paraId="0BFE9419">
      <w:pPr>
        <w:spacing w:after="160" w:line="360" w:lineRule="auto"/>
        <w:jc w:val="left"/>
        <w:rPr>
          <w:rFonts w:hint="eastAsia" w:ascii="微软雅黑" w:hAnsi="微软雅黑" w:eastAsia="微软雅黑" w:cs="微软雅黑"/>
          <w:b w:val="0"/>
          <w:i w:val="0"/>
          <w:color w:val="000000"/>
          <w:sz w:val="22"/>
          <w:u w:val="none"/>
          <w:lang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  <w:u w:val="none"/>
          <w:lang w:eastAsia="zh-CN"/>
        </w:rPr>
        <w:t>任务协作：在工单、文档、审批等流程中协助执行。</w:t>
      </w:r>
    </w:p>
    <w:p w14:paraId="422F3952">
      <w:pPr>
        <w:spacing w:after="160" w:line="360" w:lineRule="auto"/>
        <w:jc w:val="left"/>
        <w:rPr>
          <w:rFonts w:hint="eastAsia" w:ascii="微软雅黑" w:hAnsi="微软雅黑" w:eastAsia="微软雅黑" w:cs="微软雅黑"/>
          <w:b w:val="0"/>
          <w:i w:val="0"/>
          <w:color w:val="000000"/>
          <w:sz w:val="22"/>
          <w:u w:val="none"/>
          <w:lang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  <w:u w:val="none"/>
          <w:lang w:eastAsia="zh-CN"/>
        </w:rPr>
        <w:t>流程闭环：引入评估、权限、审计与运营机制，实现持续优化。</w:t>
      </w:r>
    </w:p>
    <w:p w14:paraId="40B6C5EF">
      <w:pPr>
        <w:spacing w:after="160" w:line="360" w:lineRule="auto"/>
        <w:jc w:val="left"/>
        <w:rPr>
          <w:rFonts w:hint="eastAsia" w:ascii="微软雅黑" w:hAnsi="微软雅黑" w:eastAsia="微软雅黑" w:cs="微软雅黑"/>
          <w:b w:val="0"/>
          <w:i w:val="0"/>
          <w:color w:val="000000"/>
          <w:sz w:val="22"/>
          <w:u w:val="none"/>
          <w:lang w:eastAsia="zh-CN"/>
        </w:rPr>
      </w:pPr>
    </w:p>
    <w:p w14:paraId="251C6E28">
      <w:pPr>
        <w:spacing w:after="160" w:line="360" w:lineRule="auto"/>
        <w:jc w:val="left"/>
        <w:rPr>
          <w:rFonts w:hint="eastAsia" w:ascii="微软雅黑" w:hAnsi="微软雅黑" w:eastAsia="微软雅黑" w:cs="微软雅黑"/>
          <w:b w:val="0"/>
          <w:i w:val="0"/>
          <w:color w:val="000000"/>
          <w:sz w:val="22"/>
          <w:u w:val="none"/>
          <w:lang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  <w:u w:val="none"/>
          <w:lang w:eastAsia="zh-CN"/>
        </w:rPr>
        <w:t>落地方法建议：</w:t>
      </w:r>
    </w:p>
    <w:p w14:paraId="084D25DB">
      <w:pPr>
        <w:spacing w:after="160" w:line="360" w:lineRule="auto"/>
        <w:jc w:val="left"/>
        <w:rPr>
          <w:rFonts w:hint="eastAsia" w:ascii="微软雅黑" w:hAnsi="微软雅黑" w:eastAsia="微软雅黑" w:cs="微软雅黑"/>
          <w:b w:val="0"/>
          <w:i w:val="0"/>
          <w:color w:val="000000"/>
          <w:sz w:val="22"/>
          <w:u w:val="none"/>
          <w:lang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  <w:u w:val="none"/>
          <w:lang w:eastAsia="zh-CN"/>
        </w:rPr>
        <w:t>选择高频流程：明确输入、输出与验收标准。</w:t>
      </w:r>
    </w:p>
    <w:p w14:paraId="22BED60F">
      <w:pPr>
        <w:spacing w:after="160" w:line="360" w:lineRule="auto"/>
        <w:jc w:val="left"/>
        <w:rPr>
          <w:rFonts w:hint="eastAsia" w:ascii="微软雅黑" w:hAnsi="微软雅黑" w:eastAsia="微软雅黑" w:cs="微软雅黑"/>
          <w:b w:val="0"/>
          <w:i w:val="0"/>
          <w:color w:val="000000"/>
          <w:sz w:val="22"/>
          <w:u w:val="none"/>
          <w:lang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  <w:u w:val="none"/>
          <w:lang w:eastAsia="zh-CN"/>
        </w:rPr>
        <w:t>建立数据与权限：保证可用性与合规性。</w:t>
      </w:r>
    </w:p>
    <w:p w14:paraId="64EDD5D5">
      <w:pPr>
        <w:spacing w:after="160" w:line="360" w:lineRule="auto"/>
        <w:jc w:val="left"/>
        <w:rPr>
          <w:rFonts w:hint="eastAsia" w:ascii="微软雅黑" w:hAnsi="微软雅黑" w:eastAsia="微软雅黑" w:cs="微软雅黑"/>
          <w:b w:val="0"/>
          <w:i w:val="0"/>
          <w:color w:val="000000"/>
          <w:sz w:val="22"/>
          <w:u w:val="none"/>
          <w:lang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  <w:u w:val="none"/>
          <w:lang w:eastAsia="zh-CN"/>
        </w:rPr>
        <w:t>设置评估指标：上线前后都能量化效果。</w:t>
      </w:r>
    </w:p>
    <w:p w14:paraId="505D81A0">
      <w:pPr>
        <w:spacing w:after="160" w:line="360" w:lineRule="auto"/>
        <w:jc w:val="left"/>
        <w:rPr>
          <w:rFonts w:hint="eastAsia" w:ascii="微软雅黑" w:hAnsi="微软雅黑" w:eastAsia="微软雅黑" w:cs="微软雅黑"/>
          <w:b w:val="0"/>
          <w:i w:val="0"/>
          <w:color w:val="000000"/>
          <w:sz w:val="22"/>
          <w:u w:val="none"/>
          <w:lang w:eastAsia="zh-CN"/>
        </w:rPr>
      </w:pPr>
    </w:p>
    <w:p w14:paraId="73B8FF98">
      <w:pPr>
        <w:spacing w:after="160" w:line="360" w:lineRule="auto"/>
        <w:jc w:val="left"/>
        <w:rPr>
          <w:rFonts w:hint="eastAsia" w:ascii="微软雅黑" w:hAnsi="微软雅黑" w:eastAsia="微软雅黑" w:cs="微软雅黑"/>
          <w:b w:val="0"/>
          <w:i w:val="0"/>
          <w:color w:val="000000"/>
          <w:sz w:val="22"/>
          <w:u w:val="none"/>
          <w:lang w:eastAsia="zh-CN"/>
        </w:rPr>
      </w:pPr>
    </w:p>
    <w:p w14:paraId="7A7FA0EC">
      <w:pPr>
        <w:spacing w:after="160" w:line="360" w:lineRule="auto"/>
        <w:jc w:val="left"/>
        <w:rPr>
          <w:rFonts w:hint="eastAsia" w:ascii="微软雅黑" w:hAnsi="微软雅黑" w:eastAsia="微软雅黑" w:cs="微软雅黑"/>
          <w:b/>
          <w:i w:val="0"/>
          <w:color w:val="000000"/>
          <w:sz w:val="26"/>
          <w:u w:val="none"/>
          <w:lang w:eastAsia="zh-CN"/>
        </w:rPr>
      </w:pPr>
      <w:r>
        <w:rPr>
          <w:rFonts w:hint="eastAsia" w:ascii="微软雅黑" w:hAnsi="微软雅黑" w:eastAsia="微软雅黑" w:cs="微软雅黑"/>
          <w:b/>
          <w:i w:val="0"/>
          <w:color w:val="000000"/>
          <w:sz w:val="26"/>
          <w:u w:val="none"/>
          <w:lang w:eastAsia="zh-CN"/>
        </w:rPr>
        <w:t>2  典型落地场景（示例）</w:t>
      </w:r>
    </w:p>
    <w:p w14:paraId="0900F881">
      <w:pPr>
        <w:spacing w:after="160" w:line="360" w:lineRule="auto"/>
        <w:jc w:val="left"/>
        <w:rPr>
          <w:rFonts w:hint="eastAsia" w:ascii="微软雅黑" w:hAnsi="微软雅黑" w:eastAsia="微软雅黑" w:cs="微软雅黑"/>
          <w:b w:val="0"/>
          <w:i w:val="0"/>
          <w:color w:val="000000"/>
          <w:sz w:val="22"/>
          <w:u w:val="none"/>
          <w:lang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  <w:u w:val="none"/>
          <w:lang w:eastAsia="zh-CN"/>
        </w:rPr>
        <w:t>以下场景适合以“可控 + 可衡量”为优先目标：</w:t>
      </w:r>
    </w:p>
    <w:p w14:paraId="2DF17006">
      <w:pPr>
        <w:spacing w:after="160" w:line="360" w:lineRule="auto"/>
        <w:jc w:val="left"/>
        <w:rPr>
          <w:rFonts w:hint="eastAsia" w:ascii="微软雅黑" w:hAnsi="微软雅黑" w:eastAsia="微软雅黑" w:cs="微软雅黑"/>
          <w:b w:val="0"/>
          <w:i w:val="0"/>
          <w:color w:val="000000"/>
          <w:sz w:val="22"/>
          <w:u w:val="none"/>
          <w:lang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  <w:u w:val="none"/>
          <w:lang w:eastAsia="zh-CN"/>
        </w:rPr>
        <w:t>知识检索与总结：面向内部知识库，强调引用与溯源。</w:t>
      </w:r>
    </w:p>
    <w:p w14:paraId="6817D484">
      <w:pPr>
        <w:spacing w:after="160" w:line="360" w:lineRule="auto"/>
        <w:jc w:val="left"/>
        <w:rPr>
          <w:rFonts w:hint="eastAsia" w:ascii="微软雅黑" w:hAnsi="微软雅黑" w:eastAsia="微软雅黑" w:cs="微软雅黑"/>
          <w:b w:val="0"/>
          <w:i w:val="0"/>
          <w:color w:val="000000"/>
          <w:sz w:val="22"/>
          <w:u w:val="none"/>
          <w:lang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  <w:u w:val="none"/>
          <w:lang w:eastAsia="zh-CN"/>
        </w:rPr>
        <w:t>客服质检与复盘：从对话中抽取要点，输出结构化结论。</w:t>
      </w:r>
    </w:p>
    <w:p w14:paraId="619BC40E">
      <w:pPr>
        <w:spacing w:after="160" w:line="360" w:lineRule="auto"/>
        <w:jc w:val="left"/>
        <w:rPr>
          <w:rFonts w:hint="eastAsia" w:ascii="微软雅黑" w:hAnsi="微软雅黑" w:eastAsia="微软雅黑" w:cs="微软雅黑"/>
          <w:b w:val="0"/>
          <w:i w:val="0"/>
          <w:color w:val="000000"/>
          <w:sz w:val="22"/>
          <w:u w:val="none"/>
          <w:lang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  <w:u w:val="none"/>
          <w:lang w:eastAsia="zh-CN"/>
        </w:rPr>
        <w:t>工单填单与分派：基于规则与历史数据降低重复劳动。</w:t>
      </w:r>
    </w:p>
    <w:p w14:paraId="278E7D61">
      <w:pPr>
        <w:spacing w:after="160" w:line="360" w:lineRule="auto"/>
        <w:jc w:val="left"/>
        <w:rPr>
          <w:rFonts w:hint="eastAsia" w:ascii="微软雅黑" w:hAnsi="微软雅黑" w:eastAsia="微软雅黑" w:cs="微软雅黑"/>
          <w:b w:val="0"/>
          <w:i w:val="0"/>
          <w:color w:val="000000"/>
          <w:sz w:val="22"/>
          <w:u w:val="none"/>
          <w:lang w:eastAsia="zh-CN"/>
        </w:rPr>
      </w:pPr>
    </w:p>
    <w:p w14:paraId="054C89E5">
      <w:pPr>
        <w:spacing w:after="160" w:line="360" w:lineRule="auto"/>
        <w:jc w:val="left"/>
        <w:rPr>
          <w:rFonts w:hint="eastAsia" w:ascii="微软雅黑" w:hAnsi="微软雅黑" w:eastAsia="微软雅黑" w:cs="微软雅黑"/>
          <w:b w:val="0"/>
          <w:i w:val="0"/>
          <w:color w:val="C0C0C0"/>
          <w:sz w:val="22"/>
          <w:u w:val="none"/>
          <w:lang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olor w:val="C0C0C0"/>
          <w:sz w:val="22"/>
          <w:u w:val="none"/>
          <w:lang w:eastAsia="zh-CN"/>
        </w:rPr>
        <w:t>参考链接：</w:t>
      </w:r>
    </w:p>
    <w:p w14:paraId="5801A3A0">
      <w:pPr>
        <w:spacing w:after="160" w:line="360" w:lineRule="auto"/>
        <w:jc w:val="left"/>
        <w:rPr>
          <w:rFonts w:hint="eastAsia" w:ascii="Consolas" w:hAnsi="Consolas" w:eastAsia="Consolas" w:cs="Consolas"/>
          <w:b w:val="0"/>
          <w:i w:val="0"/>
          <w:color w:val="C0C0C0"/>
          <w:sz w:val="20"/>
          <w:u w:val="none"/>
          <w:lang w:eastAsia="zh-CN"/>
        </w:rPr>
      </w:pPr>
      <w:r>
        <w:rPr>
          <w:rFonts w:hint="eastAsia" w:ascii="Consolas" w:hAnsi="Consolas" w:eastAsia="Consolas" w:cs="Consolas"/>
          <w:b w:val="0"/>
          <w:i w:val="0"/>
          <w:color w:val="C0C0C0"/>
          <w:sz w:val="20"/>
          <w:u w:val="none"/>
          <w:lang w:eastAsia="zh-CN"/>
        </w:rPr>
        <w:t>示例接口：POST /v1/chat/completions</w:t>
      </w:r>
    </w:p>
    <w:p w14:paraId="7A3AB40B">
      <w:pPr>
        <w:spacing w:after="160" w:line="360" w:lineRule="auto"/>
        <w:jc w:val="left"/>
        <w:rPr>
          <w:rFonts w:hint="eastAsia" w:ascii="微软雅黑" w:hAnsi="微软雅黑" w:eastAsia="微软雅黑" w:cs="微软雅黑"/>
          <w:b w:val="0"/>
          <w:i w:val="0"/>
          <w:color w:val="C0C0C0"/>
          <w:sz w:val="22"/>
          <w:u w:val="none"/>
          <w:lang w:eastAsia="zh-CN"/>
        </w:rPr>
      </w:pPr>
    </w:p>
    <w:p w14:paraId="23D29132">
      <w:pPr>
        <w:spacing w:after="160" w:line="360" w:lineRule="auto"/>
        <w:jc w:val="left"/>
        <w:rPr>
          <w:rFonts w:hint="eastAsia" w:ascii="微软雅黑" w:hAnsi="微软雅黑" w:eastAsia="微软雅黑" w:cs="微软雅黑"/>
          <w:b/>
          <w:i w:val="0"/>
          <w:color w:val="000000"/>
          <w:sz w:val="26"/>
          <w:u w:val="none"/>
          <w:vertAlign w:val="baseline"/>
          <w:lang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olor w:val="C0C0C0"/>
          <w:sz w:val="20"/>
          <w:u w:val="none"/>
          <w:vertAlign w:val="baseline"/>
          <w:lang w:eastAsia="zh-CN"/>
        </w:rPr>
        <w:br w:type="page"/>
      </w:r>
      <w:r>
        <w:rPr>
          <w:rFonts w:hint="eastAsia" w:ascii="微软雅黑" w:hAnsi="微软雅黑" w:eastAsia="微软雅黑" w:cs="微软雅黑"/>
          <w:b/>
          <w:i w:val="0"/>
          <w:color w:val="000000"/>
          <w:sz w:val="26"/>
          <w:u w:val="none"/>
          <w:vertAlign w:val="baseline"/>
          <w:lang w:eastAsia="zh-CN"/>
        </w:rPr>
        <w:t>3  指标与风险清单（示例）</w:t>
      </w:r>
    </w:p>
    <w:p w14:paraId="7A6F5D05">
      <w:pPr>
        <w:spacing w:after="160" w:line="360" w:lineRule="auto"/>
        <w:jc w:val="left"/>
        <w:rPr>
          <w:rFonts w:hint="eastAsia" w:ascii="微软雅黑" w:hAnsi="微软雅黑" w:eastAsia="微软雅黑" w:cs="微软雅黑"/>
          <w:b w:val="0"/>
          <w:i w:val="0"/>
          <w:color w:val="000000"/>
          <w:sz w:val="22"/>
          <w:u w:val="none"/>
          <w:vertAlign w:val="baseline"/>
          <w:lang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  <w:u w:val="none"/>
          <w:vertAlign w:val="baseline"/>
          <w:lang w:eastAsia="zh-CN"/>
        </w:rPr>
        <w:t>表格用于测试：合并单元格、底纹、边框、字体一致性。</w:t>
      </w:r>
    </w:p>
    <w:p w14:paraId="685CAFD7">
      <w:pPr>
        <w:spacing w:after="160" w:line="360" w:lineRule="auto"/>
        <w:jc w:val="left"/>
        <w:rPr>
          <w:rFonts w:hint="eastAsia" w:ascii="微软雅黑" w:hAnsi="微软雅黑" w:eastAsia="微软雅黑" w:cs="微软雅黑"/>
          <w:b w:val="0"/>
          <w:i w:val="0"/>
          <w:color w:val="000000"/>
          <w:sz w:val="22"/>
          <w:u w:val="none"/>
          <w:vertAlign w:val="baseline"/>
          <w:lang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0"/>
        <w:gridCol w:w="2310"/>
        <w:gridCol w:w="2311"/>
        <w:gridCol w:w="2311"/>
      </w:tblGrid>
      <w:tr w14:paraId="57C5A5E3">
        <w:tc>
          <w:tcPr>
            <w:tcW w:w="9242" w:type="dxa"/>
            <w:gridSpan w:val="4"/>
            <w:shd w:val="clear" w:color="auto" w:fill="808080"/>
          </w:tcPr>
          <w:p w14:paraId="731DE510">
            <w:pPr>
              <w:spacing w:after="160" w:line="360" w:lineRule="auto"/>
              <w:jc w:val="center"/>
              <w:rPr>
                <w:rFonts w:hint="eastAsia" w:ascii="微软雅黑" w:hAnsi="微软雅黑" w:eastAsia="微软雅黑" w:cs="微软雅黑"/>
                <w:b/>
                <w:i w:val="0"/>
                <w:color w:val="000000"/>
                <w:sz w:val="22"/>
                <w:u w:val="none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000000"/>
                <w:sz w:val="22"/>
                <w:u w:val="none"/>
                <w:vertAlign w:val="baseline"/>
                <w:lang w:eastAsia="zh-CN"/>
              </w:rPr>
              <w:t>AI 应用落地评估表（示例）</w:t>
            </w:r>
          </w:p>
        </w:tc>
      </w:tr>
      <w:tr w14:paraId="64CAE7DA">
        <w:tc>
          <w:tcPr>
            <w:tcW w:w="2310" w:type="dxa"/>
            <w:shd w:val="clear" w:color="auto" w:fill="808080"/>
          </w:tcPr>
          <w:p w14:paraId="5417B10C">
            <w:pPr>
              <w:spacing w:after="160" w:line="360" w:lineRule="auto"/>
              <w:jc w:val="left"/>
              <w:rPr>
                <w:rFonts w:hint="eastAsia" w:ascii="微软雅黑" w:hAnsi="微软雅黑" w:eastAsia="微软雅黑" w:cs="微软雅黑"/>
                <w:b/>
                <w:i w:val="0"/>
                <w:color w:val="000000"/>
                <w:sz w:val="20"/>
                <w:u w:val="none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000000"/>
                <w:sz w:val="20"/>
                <w:u w:val="none"/>
                <w:vertAlign w:val="baseline"/>
                <w:lang w:eastAsia="zh-CN"/>
              </w:rPr>
              <w:t>场景</w:t>
            </w:r>
          </w:p>
        </w:tc>
        <w:tc>
          <w:tcPr>
            <w:tcW w:w="2310" w:type="dxa"/>
            <w:shd w:val="clear" w:color="auto" w:fill="808080"/>
          </w:tcPr>
          <w:p w14:paraId="2FE818AB">
            <w:pPr>
              <w:spacing w:after="160" w:line="360" w:lineRule="auto"/>
              <w:jc w:val="left"/>
              <w:rPr>
                <w:rFonts w:hint="eastAsia" w:ascii="微软雅黑" w:hAnsi="微软雅黑" w:eastAsia="微软雅黑" w:cs="微软雅黑"/>
                <w:b/>
                <w:i w:val="0"/>
                <w:color w:val="000000"/>
                <w:sz w:val="20"/>
                <w:u w:val="none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000000"/>
                <w:sz w:val="20"/>
                <w:u w:val="none"/>
                <w:vertAlign w:val="baseline"/>
                <w:lang w:eastAsia="zh-CN"/>
              </w:rPr>
              <w:t>价值指标</w:t>
            </w:r>
          </w:p>
        </w:tc>
        <w:tc>
          <w:tcPr>
            <w:tcW w:w="2311" w:type="dxa"/>
            <w:shd w:val="clear" w:color="auto" w:fill="808080"/>
          </w:tcPr>
          <w:p w14:paraId="6289E922">
            <w:pPr>
              <w:spacing w:after="160" w:line="360" w:lineRule="auto"/>
              <w:jc w:val="left"/>
              <w:rPr>
                <w:rFonts w:hint="eastAsia" w:ascii="微软雅黑" w:hAnsi="微软雅黑" w:eastAsia="微软雅黑" w:cs="微软雅黑"/>
                <w:b/>
                <w:i w:val="0"/>
                <w:color w:val="000000"/>
                <w:sz w:val="20"/>
                <w:u w:val="none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000000"/>
                <w:sz w:val="20"/>
                <w:u w:val="none"/>
                <w:vertAlign w:val="baseline"/>
                <w:lang w:eastAsia="zh-CN"/>
              </w:rPr>
              <w:t>数据/系统依赖</w:t>
            </w:r>
          </w:p>
        </w:tc>
        <w:tc>
          <w:tcPr>
            <w:tcW w:w="2311" w:type="dxa"/>
            <w:shd w:val="clear" w:color="auto" w:fill="808080"/>
          </w:tcPr>
          <w:p w14:paraId="427929AF">
            <w:pPr>
              <w:spacing w:after="160" w:line="360" w:lineRule="auto"/>
              <w:jc w:val="left"/>
              <w:rPr>
                <w:rFonts w:hint="eastAsia" w:ascii="微软雅黑" w:hAnsi="微软雅黑" w:eastAsia="微软雅黑" w:cs="微软雅黑"/>
                <w:b/>
                <w:i w:val="0"/>
                <w:color w:val="000000"/>
                <w:sz w:val="20"/>
                <w:u w:val="none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000000"/>
                <w:sz w:val="20"/>
                <w:u w:val="none"/>
                <w:vertAlign w:val="baseline"/>
                <w:lang w:eastAsia="zh-CN"/>
              </w:rPr>
              <w:t>风险与兜底</w:t>
            </w:r>
          </w:p>
        </w:tc>
      </w:tr>
      <w:tr w14:paraId="11E4607F">
        <w:tc>
          <w:tcPr>
            <w:tcW w:w="2310" w:type="dxa"/>
          </w:tcPr>
          <w:p w14:paraId="2F982D6B">
            <w:pPr>
              <w:spacing w:after="160" w:line="360" w:lineRule="auto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u w:val="none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u w:val="none"/>
                <w:vertAlign w:val="baseline"/>
                <w:lang w:eastAsia="zh-CN"/>
              </w:rPr>
              <w:t>知识检索 + 摘要生成</w:t>
            </w:r>
          </w:p>
        </w:tc>
        <w:tc>
          <w:tcPr>
            <w:tcW w:w="2310" w:type="dxa"/>
          </w:tcPr>
          <w:p w14:paraId="5FDEE9E2">
            <w:pPr>
              <w:spacing w:after="160" w:line="360" w:lineRule="auto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u w:val="none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u w:val="none"/>
                <w:vertAlign w:val="baseline"/>
                <w:lang w:eastAsia="zh-CN"/>
              </w:rPr>
              <w:t>采纳率、节省工时、满意度</w:t>
            </w:r>
          </w:p>
        </w:tc>
        <w:tc>
          <w:tcPr>
            <w:tcW w:w="2311" w:type="dxa"/>
          </w:tcPr>
          <w:p w14:paraId="27B16F50">
            <w:pPr>
              <w:spacing w:after="160" w:line="360" w:lineRule="auto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u w:val="none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u w:val="none"/>
                <w:vertAlign w:val="baseline"/>
                <w:lang w:eastAsia="zh-CN"/>
              </w:rPr>
              <w:t>知识库、权限、检索链路</w:t>
            </w:r>
          </w:p>
        </w:tc>
        <w:tc>
          <w:tcPr>
            <w:tcW w:w="2311" w:type="dxa"/>
          </w:tcPr>
          <w:p w14:paraId="52E15860">
            <w:pPr>
              <w:spacing w:after="160" w:line="360" w:lineRule="auto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u w:val="none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u w:val="none"/>
                <w:vertAlign w:val="baseline"/>
                <w:lang w:eastAsia="zh-CN"/>
              </w:rPr>
              <w:t>引用来源、低置信度提示、人工复核</w:t>
            </w:r>
          </w:p>
        </w:tc>
      </w:tr>
      <w:tr w14:paraId="5EC5411C">
        <w:tc>
          <w:tcPr>
            <w:tcW w:w="2310" w:type="dxa"/>
          </w:tcPr>
          <w:p w14:paraId="0CAC649A">
            <w:pPr>
              <w:spacing w:after="160" w:line="360" w:lineRule="auto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u w:val="none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u w:val="none"/>
                <w:vertAlign w:val="baseline"/>
                <w:lang w:eastAsia="zh-CN"/>
              </w:rPr>
              <w:t>工单自动分派/填单</w:t>
            </w:r>
          </w:p>
        </w:tc>
        <w:tc>
          <w:tcPr>
            <w:tcW w:w="2310" w:type="dxa"/>
          </w:tcPr>
          <w:p w14:paraId="4AE4197B">
            <w:pPr>
              <w:spacing w:after="160" w:line="360" w:lineRule="auto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u w:val="none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u w:val="none"/>
                <w:vertAlign w:val="baseline"/>
                <w:lang w:eastAsia="zh-CN"/>
              </w:rPr>
              <w:t>一次解决率、时延、转人工率</w:t>
            </w:r>
          </w:p>
        </w:tc>
        <w:tc>
          <w:tcPr>
            <w:tcW w:w="2311" w:type="dxa"/>
          </w:tcPr>
          <w:p w14:paraId="7DB7A265">
            <w:pPr>
              <w:spacing w:after="160" w:line="360" w:lineRule="auto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u w:val="none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u w:val="none"/>
                <w:vertAlign w:val="baseline"/>
                <w:lang w:eastAsia="zh-CN"/>
              </w:rPr>
              <w:t>工单系统、字段校验、流程规则</w:t>
            </w:r>
          </w:p>
        </w:tc>
        <w:tc>
          <w:tcPr>
            <w:tcW w:w="2311" w:type="dxa"/>
          </w:tcPr>
          <w:p w14:paraId="4910B5F5">
            <w:pPr>
              <w:spacing w:after="160" w:line="360" w:lineRule="auto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u w:val="none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u w:val="none"/>
                <w:vertAlign w:val="baseline"/>
                <w:lang w:eastAsia="zh-CN"/>
              </w:rPr>
              <w:t>规则兜底、审计、敏感信息脱敏</w:t>
            </w:r>
          </w:p>
        </w:tc>
      </w:tr>
      <w:tr w14:paraId="46BB2B17">
        <w:tc>
          <w:tcPr>
            <w:tcW w:w="2310" w:type="dxa"/>
          </w:tcPr>
          <w:p w14:paraId="56CCAFAA">
            <w:pPr>
              <w:spacing w:after="160" w:line="360" w:lineRule="auto"/>
              <w:jc w:val="left"/>
              <w:rPr>
                <w:rFonts w:hint="default" w:ascii="微软雅黑" w:hAnsi="微软雅黑" w:eastAsia="微软雅黑" w:cs="微软雅黑"/>
                <w:b w:val="0"/>
                <w:i w:val="0"/>
                <w:color w:val="000000"/>
                <w:sz w:val="20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/>
                <w:iCs/>
                <w:color w:val="000000"/>
                <w:sz w:val="20"/>
                <w:u w:val="none"/>
                <w:vertAlign w:val="baseline"/>
                <w:lang w:val="en-US" w:eastAsia="zh-CN"/>
              </w:rPr>
              <w:t>测试</w:t>
            </w:r>
          </w:p>
        </w:tc>
        <w:tc>
          <w:tcPr>
            <w:tcW w:w="2310" w:type="dxa"/>
          </w:tcPr>
          <w:p w14:paraId="12BAD060">
            <w:pPr>
              <w:spacing w:after="160" w:line="360" w:lineRule="auto"/>
              <w:jc w:val="left"/>
              <w:rPr>
                <w:rFonts w:hint="default" w:ascii="微软雅黑" w:hAnsi="微软雅黑" w:eastAsia="微软雅黑" w:cs="微软雅黑"/>
                <w:b w:val="0"/>
                <w:i w:val="0"/>
                <w:color w:val="000000"/>
                <w:sz w:val="20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u w:val="none"/>
                <w:shd w:val="clear" w:fill="4874CB" w:themeFill="accent1"/>
                <w:vertAlign w:val="baseline"/>
                <w:lang w:val="en-US" w:eastAsia="zh-CN"/>
              </w:rPr>
              <w:t>测试</w:t>
            </w:r>
          </w:p>
        </w:tc>
        <w:tc>
          <w:tcPr>
            <w:tcW w:w="2311" w:type="dxa"/>
          </w:tcPr>
          <w:p w14:paraId="58D0E2EF">
            <w:pPr>
              <w:spacing w:after="160" w:line="360" w:lineRule="auto"/>
              <w:jc w:val="left"/>
              <w:rPr>
                <w:rFonts w:hint="default" w:ascii="微软雅黑" w:hAnsi="微软雅黑" w:eastAsia="微软雅黑" w:cs="微软雅黑"/>
                <w:b w:val="0"/>
                <w:i w:val="0"/>
                <w:color w:val="000000"/>
                <w:sz w:val="20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highlight w:val="green"/>
                <w:u w:val="none"/>
                <w:vertAlign w:val="baseline"/>
                <w:lang w:val="en-US" w:eastAsia="zh-CN"/>
              </w:rPr>
              <w:t>测试</w:t>
            </w:r>
          </w:p>
        </w:tc>
        <w:tc>
          <w:tcPr>
            <w:tcW w:w="2311" w:type="dxa"/>
          </w:tcPr>
          <w:p w14:paraId="676C4928">
            <w:pPr>
              <w:spacing w:after="160" w:line="360" w:lineRule="auto"/>
              <w:jc w:val="left"/>
              <w:rPr>
                <w:rFonts w:hint="default" w:ascii="微软雅黑" w:hAnsi="微软雅黑" w:eastAsia="微软雅黑" w:cs="微软雅黑"/>
                <w:b w:val="0"/>
                <w:i w:val="0"/>
                <w:color w:val="000000"/>
                <w:sz w:val="20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Lantinghei TC Demibold" w:hAnsi="Lantinghei TC Demibold" w:eastAsia="Lantinghei TC Demibold" w:cs="Lantinghei TC Demibold"/>
                <w:b/>
                <w:bCs w:val="0"/>
                <w:i w:val="0"/>
                <w:color w:val="000000"/>
                <w:sz w:val="44"/>
                <w:szCs w:val="44"/>
                <w:u w:val="none"/>
                <w:vertAlign w:val="baseline"/>
                <w:lang w:val="en-US" w:eastAsia="zh-CN"/>
              </w:rPr>
              <w:t>测试</w:t>
            </w:r>
          </w:p>
        </w:tc>
      </w:tr>
    </w:tbl>
    <w:p w14:paraId="59B7F546">
      <w:pPr>
        <w:spacing w:after="160" w:line="360" w:lineRule="auto"/>
        <w:jc w:val="left"/>
        <w:rPr>
          <w:rFonts w:hint="eastAsia" w:ascii="微软雅黑" w:hAnsi="微软雅黑" w:eastAsia="微软雅黑" w:cs="微软雅黑"/>
          <w:b w:val="0"/>
          <w:i w:val="0"/>
          <w:color w:val="000000"/>
          <w:sz w:val="22"/>
          <w:u w:val="none"/>
          <w:vertAlign w:val="baseline"/>
          <w:lang w:eastAsia="zh-CN"/>
        </w:rPr>
      </w:pPr>
      <w:bookmarkStart w:id="0" w:name="_GoBack"/>
      <w:bookmarkEnd w:id="0"/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4F60017F">
        <w:tc>
          <w:tcPr>
            <w:tcW w:w="9242" w:type="dxa"/>
            <w:shd w:val="clear" w:color="auto" w:fill="808080"/>
          </w:tcPr>
          <w:p w14:paraId="64AAD6B9">
            <w:pPr>
              <w:spacing w:after="160" w:line="360" w:lineRule="auto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olor w:val="C0C0C0"/>
                <w:sz w:val="20"/>
                <w:u w:val="none"/>
                <w:vertAlign w:val="baseline"/>
                <w:lang w:eastAsia="zh-CN"/>
              </w:rPr>
            </w:pPr>
          </w:p>
          <w:p w14:paraId="6A4FB51E">
            <w:pPr>
              <w:spacing w:after="160" w:line="360" w:lineRule="auto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olor w:val="C0C0C0"/>
                <w:sz w:val="22"/>
                <w:u w:val="none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C0C0C0"/>
                <w:sz w:val="22"/>
                <w:u w:val="none"/>
                <w:vertAlign w:val="baseline"/>
                <w:lang w:eastAsia="zh-CN"/>
              </w:rPr>
              <w:t>— 以下为第二页内容 —</w:t>
            </w:r>
          </w:p>
          <w:p w14:paraId="2786266A">
            <w:pPr>
              <w:spacing w:after="160" w:line="360" w:lineRule="auto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olor w:val="C0C0C0"/>
                <w:sz w:val="22"/>
                <w:u w:val="none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C0C0C0"/>
                <w:sz w:val="20"/>
                <w:u w:val="none"/>
                <w:vertAlign w:val="baseline"/>
                <w:lang w:eastAsia="zh-CN"/>
              </w:rPr>
              <w:t>提示：优先选择“可控性强、指标可量化、可快速闭环”的业务流程作为首批落地场景。</w:t>
            </w:r>
          </w:p>
        </w:tc>
      </w:tr>
    </w:tbl>
    <w:p w14:paraId="071CE8C9">
      <w:pPr>
        <w:spacing w:after="160" w:line="360" w:lineRule="auto"/>
        <w:jc w:val="left"/>
        <w:rPr>
          <w:rFonts w:hint="eastAsia" w:ascii="微软雅黑" w:hAnsi="微软雅黑" w:eastAsia="微软雅黑" w:cs="微软雅黑"/>
          <w:b w:val="0"/>
          <w:i w:val="0"/>
          <w:color w:val="0000FF"/>
          <w:sz w:val="22"/>
          <w:u w:val="none"/>
          <w:lang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olor w:val="C0C0C0"/>
          <w:sz w:val="22"/>
          <w:u w:val="none"/>
          <w:lang w:eastAsia="zh-CN"/>
        </w:rPr>
        <w:fldChar w:fldCharType="begin"/>
      </w:r>
      <w:r>
        <w:rPr>
          <w:rFonts w:hint="eastAsia" w:ascii="微软雅黑" w:hAnsi="微软雅黑" w:eastAsia="微软雅黑" w:cs="微软雅黑"/>
          <w:b w:val="0"/>
          <w:i w:val="0"/>
          <w:color w:val="C0C0C0"/>
          <w:sz w:val="22"/>
          <w:u w:val="none"/>
          <w:lang w:eastAsia="zh-CN"/>
        </w:rPr>
        <w:instrText xml:space="preserve"> HYPERLINK "https://open.wps.cn" </w:instrText>
      </w:r>
      <w:r>
        <w:rPr>
          <w:rFonts w:hint="eastAsia" w:ascii="微软雅黑" w:hAnsi="微软雅黑" w:eastAsia="微软雅黑" w:cs="微软雅黑"/>
          <w:b w:val="0"/>
          <w:i w:val="0"/>
          <w:color w:val="C0C0C0"/>
          <w:sz w:val="22"/>
          <w:u w:val="none"/>
          <w:lang w:eastAsia="zh-CN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b w:val="0"/>
          <w:i w:val="0"/>
          <w:sz w:val="22"/>
          <w:lang w:eastAsia="zh-CN"/>
        </w:rPr>
        <w:t>WPS 开放平台</w:t>
      </w:r>
      <w:r>
        <w:rPr>
          <w:rFonts w:hint="eastAsia" w:ascii="微软雅黑" w:hAnsi="微软雅黑" w:eastAsia="微软雅黑" w:cs="微软雅黑"/>
          <w:b w:val="0"/>
          <w:i w:val="0"/>
          <w:color w:val="C0C0C0"/>
          <w:sz w:val="22"/>
          <w:u w:val="none"/>
          <w:lang w:eastAsia="zh-CN"/>
        </w:rPr>
        <w:fldChar w:fldCharType="end"/>
      </w:r>
    </w:p>
    <w:sectPr>
      <w:pgSz w:w="11906" w:h="16838"/>
      <w:pgMar w:top="1440" w:right="1440" w:bottom="144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Lantinghei TC Extralight">
    <w:panose1 w:val="03000509000000000000"/>
    <w:charset w:val="88"/>
    <w:family w:val="auto"/>
    <w:pitch w:val="default"/>
    <w:sig w:usb0="00000001" w:usb1="080E0000" w:usb2="00000000" w:usb3="00000000" w:csb0="001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Lantinghei TC Demibold">
    <w:panose1 w:val="03000509000000000000"/>
    <w:charset w:val="88"/>
    <w:family w:val="auto"/>
    <w:pitch w:val="default"/>
    <w:sig w:usb0="00000001" w:usb1="080E0000" w:usb2="00000000" w:usb3="00000000" w:csb0="001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9F7B47C0"/>
    <w:rsid w:val="5C7B186B"/>
    <w:rsid w:val="6F8E9A32"/>
    <w:rsid w:val="E7F17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Office_12.1.24703.24703_F1E327BC-269C-435d-A152-05C5408002CA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2026-01-14T08:51:00Z</dcterms:created>
  <dc:creator>对方正在输入</dc:creator>
  <cp:lastModifiedBy>对方正在输入</cp:lastModifiedBy>
  <dcterms:modified xsi:type="dcterms:W3CDTF">2026-01-13T17:47:42Z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2052-12.1.24703.24703</vt:lpwstr>
  </property>
  <property fmtid="{D5CDD505-2E9C-101B-9397-08002B2CF9AE}" pid="3" name="ICV">
    <vt:lpwstr>9D2F213F14A0770819B565694CF7A57A_43</vt:lpwstr>
  </property>
</Properties>
</file>