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随着3G时代的到来，手机应用越来越普遍，加之国民手机持有量更是爆炸式增长。为了方便Android手机用户能随时随地点到自己喜欢的菜品，提出一种操作简便，功能齐全，占用资源少，能为用户节约流量的的网上订餐应用，于是提出本系统的主要功能。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需求界面如下：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客户端：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1、登陆、注册界面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2、显示菜品界面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3、搜索菜品界面（按菜品名称、种类、店铺名称进行搜索）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4、购物车界面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5、个人信息界面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6、菜品详情界面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服务器端：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登陆界面</w:t>
      </w:r>
    </w:p>
    <w:p>
      <w:pPr>
        <w:numPr>
          <w:ilvl w:val="0"/>
          <w:numId w:val="1"/>
        </w:num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订单管理、菜品管理、会员管理界面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需求实现功能如下：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客户端：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1、实现客户端与服务器之间的连接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2、实现登陆、注册功能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3、实现登陆后能浏览到服务器数据，并对数据进行一系列的操作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4、能把菜品加入到购物车，并结算生成订单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5、把生成的订单信息传回服务器端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服务器端：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1、实现管理员登陆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2、实现添加、删除、修改菜品信息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3、实现对客户端传过来的订单进行处理</w:t>
      </w:r>
    </w:p>
    <w:p>
      <w:pPr>
        <w:spacing w:line="300" w:lineRule="auto"/>
        <w:ind w:firstLine="480" w:firstLineChars="200"/>
        <w:rPr>
          <w:rFonts w:hint="eastAsia"/>
          <w:kern w:val="10"/>
          <w:sz w:val="24"/>
          <w:lang w:eastAsia="zh-CN"/>
        </w:rPr>
      </w:pPr>
      <w:r>
        <w:rPr>
          <w:rFonts w:hint="eastAsia"/>
          <w:kern w:val="10"/>
          <w:sz w:val="24"/>
          <w:lang w:eastAsia="zh-CN"/>
        </w:rPr>
        <w:t>4、实现添加、删除会员列表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C3F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1"/>
      <w:sz w:val="21"/>
      <w:szCs w:val="24"/>
      <w:lang w:val="en-US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Mr.Zheng</dc:creator>
  <cp:lastModifiedBy>Mr.Zheng</cp:lastModifiedBy>
  <dcterms:modified xsi:type="dcterms:W3CDTF">2016-07-16T07:32:55Z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